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62477" w14:textId="38B30E35" w:rsidR="00C27EAD" w:rsidRDefault="00C42A3D" w:rsidP="004F3FCE">
      <w:pPr>
        <w:pStyle w:val="BodyText"/>
        <w:ind w:left="4048"/>
        <w:jc w:val="center"/>
        <w:rPr>
          <w:rFonts w:ascii="Times New Roman"/>
          <w:sz w:val="20"/>
        </w:rPr>
      </w:pPr>
      <w:r w:rsidRPr="00B900BF">
        <w:rPr>
          <w:rFonts w:ascii="Verdana" w:hAnsi="Verdana"/>
          <w:noProof/>
          <w:lang w:val="en-GB" w:eastAsia="en-GB"/>
        </w:rPr>
        <w:drawing>
          <wp:anchor distT="0" distB="0" distL="114300" distR="114300" simplePos="0" relativeHeight="251658240" behindDoc="0" locked="0" layoutInCell="1" allowOverlap="1" wp14:anchorId="4DEDC04E" wp14:editId="5755CB39">
            <wp:simplePos x="0" y="0"/>
            <wp:positionH relativeFrom="page">
              <wp:align>center</wp:align>
            </wp:positionH>
            <wp:positionV relativeFrom="paragraph">
              <wp:posOffset>58366</wp:posOffset>
            </wp:positionV>
            <wp:extent cx="1810800" cy="12276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0800" cy="122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71CFBB" w14:textId="77777777" w:rsidR="00C27EAD" w:rsidRDefault="00C27EAD">
      <w:pPr>
        <w:pStyle w:val="BodyText"/>
        <w:spacing w:before="9"/>
        <w:rPr>
          <w:rFonts w:ascii="Times New Roman"/>
          <w:sz w:val="10"/>
        </w:rPr>
      </w:pPr>
    </w:p>
    <w:p w14:paraId="4E3B255B" w14:textId="53281882" w:rsidR="00C27EAD" w:rsidRDefault="00EE4CDD">
      <w:pPr>
        <w:spacing w:before="99" w:line="242" w:lineRule="auto"/>
        <w:ind w:left="1310" w:right="2033"/>
        <w:jc w:val="center"/>
        <w:rPr>
          <w:b/>
          <w:sz w:val="26"/>
        </w:rPr>
      </w:pPr>
      <w:r>
        <w:rPr>
          <w:b/>
          <w:sz w:val="26"/>
        </w:rPr>
        <w:t>Diversification</w:t>
      </w:r>
      <w:r w:rsidR="00957814">
        <w:rPr>
          <w:b/>
          <w:sz w:val="26"/>
        </w:rPr>
        <w:t xml:space="preserve"> study </w:t>
      </w:r>
      <w:r>
        <w:rPr>
          <w:b/>
          <w:sz w:val="26"/>
        </w:rPr>
        <w:t>on Solvency II Internal Models</w:t>
      </w:r>
      <w:r w:rsidR="00957814">
        <w:rPr>
          <w:b/>
          <w:sz w:val="26"/>
        </w:rPr>
        <w:t>,</w:t>
      </w:r>
      <w:r>
        <w:rPr>
          <w:b/>
          <w:sz w:val="26"/>
        </w:rPr>
        <w:t xml:space="preserve"> 202</w:t>
      </w:r>
      <w:r w:rsidR="00EF5DB0">
        <w:rPr>
          <w:b/>
          <w:sz w:val="26"/>
        </w:rPr>
        <w:t>1</w:t>
      </w:r>
    </w:p>
    <w:p w14:paraId="695DBBED" w14:textId="55492515" w:rsidR="00DB2401" w:rsidRDefault="00DB2401">
      <w:pPr>
        <w:spacing w:before="99" w:line="242" w:lineRule="auto"/>
        <w:ind w:left="1310" w:right="2033"/>
        <w:jc w:val="center"/>
        <w:rPr>
          <w:b/>
          <w:sz w:val="26"/>
        </w:rPr>
      </w:pPr>
      <w:r>
        <w:rPr>
          <w:b/>
          <w:sz w:val="26"/>
        </w:rPr>
        <w:t>Phase II</w:t>
      </w:r>
    </w:p>
    <w:p w14:paraId="4E14E787" w14:textId="77777777" w:rsidR="00C27EAD" w:rsidRDefault="00C27EAD">
      <w:pPr>
        <w:pStyle w:val="BodyText"/>
        <w:rPr>
          <w:b/>
          <w:sz w:val="30"/>
        </w:rPr>
      </w:pPr>
    </w:p>
    <w:p w14:paraId="13030D39" w14:textId="054E7837" w:rsidR="00C27EAD" w:rsidRDefault="00957814">
      <w:pPr>
        <w:pStyle w:val="Title"/>
        <w:spacing w:line="312" w:lineRule="auto"/>
      </w:pPr>
      <w:r>
        <w:t>Instructions to participating undertakings for filling out the data request</w:t>
      </w:r>
    </w:p>
    <w:p w14:paraId="771EFBC0" w14:textId="77777777" w:rsidR="00C27EAD" w:rsidRDefault="00C27EAD">
      <w:pPr>
        <w:pStyle w:val="BodyText"/>
        <w:spacing w:before="10"/>
        <w:rPr>
          <w:b/>
          <w:i/>
          <w:sz w:val="46"/>
        </w:rPr>
      </w:pPr>
    </w:p>
    <w:p w14:paraId="7AACEFDB" w14:textId="0DD6E086" w:rsidR="00EE4CDD" w:rsidRDefault="00957814">
      <w:pPr>
        <w:spacing w:line="352" w:lineRule="auto"/>
        <w:ind w:left="809" w:right="1530"/>
        <w:jc w:val="center"/>
        <w:rPr>
          <w:b/>
        </w:rPr>
      </w:pPr>
      <w:r>
        <w:rPr>
          <w:b/>
        </w:rPr>
        <w:t>Response deadline:</w:t>
      </w:r>
      <w:r w:rsidR="00EE4CDD">
        <w:rPr>
          <w:b/>
        </w:rPr>
        <w:t xml:space="preserve"> </w:t>
      </w:r>
      <w:r w:rsidR="00BE7B8E" w:rsidRPr="00842A74">
        <w:rPr>
          <w:b/>
        </w:rPr>
        <w:t>10 January 2022</w:t>
      </w:r>
    </w:p>
    <w:p w14:paraId="577A8F2E" w14:textId="7D52BF0F" w:rsidR="00C27EAD" w:rsidRDefault="00957814">
      <w:pPr>
        <w:spacing w:line="352" w:lineRule="auto"/>
        <w:ind w:left="809" w:right="1530"/>
        <w:jc w:val="center"/>
        <w:rPr>
          <w:b/>
        </w:rPr>
      </w:pPr>
      <w:r>
        <w:rPr>
          <w:b/>
        </w:rPr>
        <w:t xml:space="preserve">Author: EIOPA </w:t>
      </w:r>
      <w:r w:rsidR="0028794B">
        <w:rPr>
          <w:b/>
        </w:rPr>
        <w:t xml:space="preserve">Project Group on </w:t>
      </w:r>
      <w:r w:rsidR="00EE4CDD">
        <w:rPr>
          <w:b/>
        </w:rPr>
        <w:t>Diversification</w:t>
      </w:r>
      <w:r w:rsidR="000A58B2">
        <w:rPr>
          <w:b/>
        </w:rPr>
        <w:t xml:space="preserve"> </w:t>
      </w:r>
      <w:r w:rsidR="0028794B">
        <w:rPr>
          <w:b/>
        </w:rPr>
        <w:t xml:space="preserve">in </w:t>
      </w:r>
      <w:r w:rsidR="000A58B2">
        <w:rPr>
          <w:b/>
        </w:rPr>
        <w:t>Internal Models</w:t>
      </w:r>
      <w:r>
        <w:rPr>
          <w:b/>
        </w:rPr>
        <w:t xml:space="preserve"> </w:t>
      </w:r>
    </w:p>
    <w:sdt>
      <w:sdtPr>
        <w:rPr>
          <w:rFonts w:ascii="Cambria" w:eastAsia="Cambria" w:hAnsi="Cambria" w:cs="Cambria"/>
          <w:b/>
          <w:bCs/>
          <w:color w:val="auto"/>
          <w:sz w:val="22"/>
          <w:szCs w:val="22"/>
        </w:rPr>
        <w:id w:val="1202899674"/>
        <w:docPartObj>
          <w:docPartGallery w:val="Table of Contents"/>
          <w:docPartUnique/>
        </w:docPartObj>
      </w:sdtPr>
      <w:sdtEndPr>
        <w:rPr>
          <w:b w:val="0"/>
          <w:bCs w:val="0"/>
          <w:noProof/>
          <w:sz w:val="20"/>
          <w:szCs w:val="20"/>
        </w:rPr>
      </w:sdtEndPr>
      <w:sdtContent>
        <w:p w14:paraId="2596128C" w14:textId="0E6E4B28" w:rsidR="00E9509A" w:rsidRPr="001C53A6" w:rsidRDefault="001C53A6" w:rsidP="00E93EAE">
          <w:pPr>
            <w:pStyle w:val="TOCHeading"/>
            <w:ind w:right="951"/>
            <w:rPr>
              <w:b/>
              <w:bCs/>
            </w:rPr>
          </w:pPr>
          <w:r w:rsidRPr="001C53A6">
            <w:rPr>
              <w:b/>
              <w:bCs/>
            </w:rPr>
            <w:t>Table of contents</w:t>
          </w:r>
        </w:p>
        <w:p w14:paraId="2D1D3755" w14:textId="68138C30" w:rsidR="00603830" w:rsidRDefault="00E9509A">
          <w:pPr>
            <w:pStyle w:val="TOC1"/>
            <w:tabs>
              <w:tab w:val="right" w:leader="dot" w:pos="10580"/>
            </w:tabs>
            <w:rPr>
              <w:rFonts w:asciiTheme="minorHAnsi" w:eastAsiaTheme="minorEastAsia" w:hAnsiTheme="minorHAnsi" w:cstheme="minorBidi"/>
              <w:b w:val="0"/>
              <w:bCs w:val="0"/>
              <w:noProof/>
              <w:sz w:val="22"/>
              <w:szCs w:val="22"/>
              <w:lang w:val="en-GB" w:eastAsia="en-GB"/>
            </w:rPr>
          </w:pPr>
          <w:r>
            <w:fldChar w:fldCharType="begin"/>
          </w:r>
          <w:r>
            <w:instrText xml:space="preserve"> TOC \o "1-3" \h \z \u </w:instrText>
          </w:r>
          <w:r>
            <w:fldChar w:fldCharType="separate"/>
          </w:r>
          <w:hyperlink w:anchor="_Toc83725809" w:history="1">
            <w:r w:rsidR="00603830" w:rsidRPr="00E372CA">
              <w:rPr>
                <w:rStyle w:val="Hyperlink"/>
                <w:noProof/>
                <w:spacing w:val="-1"/>
              </w:rPr>
              <w:t>I.</w:t>
            </w:r>
            <w:r w:rsidR="00603830">
              <w:rPr>
                <w:rFonts w:asciiTheme="minorHAnsi" w:eastAsiaTheme="minorEastAsia" w:hAnsiTheme="minorHAnsi" w:cstheme="minorBidi"/>
                <w:b w:val="0"/>
                <w:bCs w:val="0"/>
                <w:noProof/>
                <w:sz w:val="22"/>
                <w:szCs w:val="22"/>
                <w:lang w:val="en-GB" w:eastAsia="en-GB"/>
              </w:rPr>
              <w:tab/>
            </w:r>
            <w:r w:rsidR="00603830" w:rsidRPr="00E372CA">
              <w:rPr>
                <w:rStyle w:val="Hyperlink"/>
                <w:noProof/>
              </w:rPr>
              <w:t>Purpose</w:t>
            </w:r>
            <w:r w:rsidR="00603830">
              <w:rPr>
                <w:noProof/>
                <w:webHidden/>
              </w:rPr>
              <w:tab/>
            </w:r>
            <w:r w:rsidR="00603830">
              <w:rPr>
                <w:noProof/>
                <w:webHidden/>
              </w:rPr>
              <w:fldChar w:fldCharType="begin"/>
            </w:r>
            <w:r w:rsidR="00603830">
              <w:rPr>
                <w:noProof/>
                <w:webHidden/>
              </w:rPr>
              <w:instrText xml:space="preserve"> PAGEREF _Toc83725809 \h </w:instrText>
            </w:r>
            <w:r w:rsidR="00603830">
              <w:rPr>
                <w:noProof/>
                <w:webHidden/>
              </w:rPr>
            </w:r>
            <w:r w:rsidR="00603830">
              <w:rPr>
                <w:noProof/>
                <w:webHidden/>
              </w:rPr>
              <w:fldChar w:fldCharType="separate"/>
            </w:r>
            <w:r w:rsidR="00603830">
              <w:rPr>
                <w:noProof/>
                <w:webHidden/>
              </w:rPr>
              <w:t>1</w:t>
            </w:r>
            <w:r w:rsidR="00603830">
              <w:rPr>
                <w:noProof/>
                <w:webHidden/>
              </w:rPr>
              <w:fldChar w:fldCharType="end"/>
            </w:r>
          </w:hyperlink>
        </w:p>
        <w:p w14:paraId="54E094B7" w14:textId="0E1D8D42" w:rsidR="00603830" w:rsidRDefault="00603830">
          <w:pPr>
            <w:pStyle w:val="TOC1"/>
            <w:tabs>
              <w:tab w:val="right" w:leader="dot" w:pos="10580"/>
            </w:tabs>
            <w:rPr>
              <w:rFonts w:asciiTheme="minorHAnsi" w:eastAsiaTheme="minorEastAsia" w:hAnsiTheme="minorHAnsi" w:cstheme="minorBidi"/>
              <w:b w:val="0"/>
              <w:bCs w:val="0"/>
              <w:noProof/>
              <w:sz w:val="22"/>
              <w:szCs w:val="22"/>
              <w:lang w:val="en-GB" w:eastAsia="en-GB"/>
            </w:rPr>
          </w:pPr>
          <w:hyperlink w:anchor="_Toc83725810" w:history="1">
            <w:r w:rsidRPr="00E372CA">
              <w:rPr>
                <w:rStyle w:val="Hyperlink"/>
                <w:noProof/>
                <w:spacing w:val="-1"/>
              </w:rPr>
              <w:t>II.</w:t>
            </w:r>
            <w:r>
              <w:rPr>
                <w:rFonts w:asciiTheme="minorHAnsi" w:eastAsiaTheme="minorEastAsia" w:hAnsiTheme="minorHAnsi" w:cstheme="minorBidi"/>
                <w:b w:val="0"/>
                <w:bCs w:val="0"/>
                <w:noProof/>
                <w:sz w:val="22"/>
                <w:szCs w:val="22"/>
                <w:lang w:val="en-GB" w:eastAsia="en-GB"/>
              </w:rPr>
              <w:tab/>
            </w:r>
            <w:r w:rsidRPr="00E372CA">
              <w:rPr>
                <w:rStyle w:val="Hyperlink"/>
                <w:noProof/>
              </w:rPr>
              <w:t>Context</w:t>
            </w:r>
            <w:r>
              <w:rPr>
                <w:noProof/>
                <w:webHidden/>
              </w:rPr>
              <w:tab/>
            </w:r>
            <w:r>
              <w:rPr>
                <w:noProof/>
                <w:webHidden/>
              </w:rPr>
              <w:fldChar w:fldCharType="begin"/>
            </w:r>
            <w:r>
              <w:rPr>
                <w:noProof/>
                <w:webHidden/>
              </w:rPr>
              <w:instrText xml:space="preserve"> PAGEREF _Toc83725810 \h </w:instrText>
            </w:r>
            <w:r>
              <w:rPr>
                <w:noProof/>
                <w:webHidden/>
              </w:rPr>
            </w:r>
            <w:r>
              <w:rPr>
                <w:noProof/>
                <w:webHidden/>
              </w:rPr>
              <w:fldChar w:fldCharType="separate"/>
            </w:r>
            <w:r>
              <w:rPr>
                <w:noProof/>
                <w:webHidden/>
              </w:rPr>
              <w:t>1</w:t>
            </w:r>
            <w:r>
              <w:rPr>
                <w:noProof/>
                <w:webHidden/>
              </w:rPr>
              <w:fldChar w:fldCharType="end"/>
            </w:r>
          </w:hyperlink>
        </w:p>
        <w:p w14:paraId="46B60C58" w14:textId="05CFA38B" w:rsidR="00603830" w:rsidRDefault="00603830">
          <w:pPr>
            <w:pStyle w:val="TOC1"/>
            <w:tabs>
              <w:tab w:val="right" w:leader="dot" w:pos="10580"/>
            </w:tabs>
            <w:rPr>
              <w:rFonts w:asciiTheme="minorHAnsi" w:eastAsiaTheme="minorEastAsia" w:hAnsiTheme="minorHAnsi" w:cstheme="minorBidi"/>
              <w:b w:val="0"/>
              <w:bCs w:val="0"/>
              <w:noProof/>
              <w:sz w:val="22"/>
              <w:szCs w:val="22"/>
              <w:lang w:val="en-GB" w:eastAsia="en-GB"/>
            </w:rPr>
          </w:pPr>
          <w:hyperlink w:anchor="_Toc83725811" w:history="1">
            <w:r w:rsidRPr="00E372CA">
              <w:rPr>
                <w:rStyle w:val="Hyperlink"/>
                <w:noProof/>
                <w:spacing w:val="-1"/>
              </w:rPr>
              <w:t>III.</w:t>
            </w:r>
            <w:r>
              <w:rPr>
                <w:rFonts w:asciiTheme="minorHAnsi" w:eastAsiaTheme="minorEastAsia" w:hAnsiTheme="minorHAnsi" w:cstheme="minorBidi"/>
                <w:b w:val="0"/>
                <w:bCs w:val="0"/>
                <w:noProof/>
                <w:sz w:val="22"/>
                <w:szCs w:val="22"/>
                <w:lang w:val="en-GB" w:eastAsia="en-GB"/>
              </w:rPr>
              <w:tab/>
            </w:r>
            <w:r w:rsidRPr="00E372CA">
              <w:rPr>
                <w:rStyle w:val="Hyperlink"/>
                <w:noProof/>
              </w:rPr>
              <w:t>Participation to this data request</w:t>
            </w:r>
            <w:r>
              <w:rPr>
                <w:noProof/>
                <w:webHidden/>
              </w:rPr>
              <w:tab/>
            </w:r>
            <w:r>
              <w:rPr>
                <w:noProof/>
                <w:webHidden/>
              </w:rPr>
              <w:fldChar w:fldCharType="begin"/>
            </w:r>
            <w:r>
              <w:rPr>
                <w:noProof/>
                <w:webHidden/>
              </w:rPr>
              <w:instrText xml:space="preserve"> PAGEREF _Toc83725811 \h </w:instrText>
            </w:r>
            <w:r>
              <w:rPr>
                <w:noProof/>
                <w:webHidden/>
              </w:rPr>
            </w:r>
            <w:r>
              <w:rPr>
                <w:noProof/>
                <w:webHidden/>
              </w:rPr>
              <w:fldChar w:fldCharType="separate"/>
            </w:r>
            <w:r>
              <w:rPr>
                <w:noProof/>
                <w:webHidden/>
              </w:rPr>
              <w:t>2</w:t>
            </w:r>
            <w:r>
              <w:rPr>
                <w:noProof/>
                <w:webHidden/>
              </w:rPr>
              <w:fldChar w:fldCharType="end"/>
            </w:r>
          </w:hyperlink>
        </w:p>
        <w:p w14:paraId="510459F8" w14:textId="3588E9D8" w:rsidR="00603830" w:rsidRDefault="00603830">
          <w:pPr>
            <w:pStyle w:val="TOC1"/>
            <w:tabs>
              <w:tab w:val="right" w:leader="dot" w:pos="10580"/>
            </w:tabs>
            <w:rPr>
              <w:rFonts w:asciiTheme="minorHAnsi" w:eastAsiaTheme="minorEastAsia" w:hAnsiTheme="minorHAnsi" w:cstheme="minorBidi"/>
              <w:b w:val="0"/>
              <w:bCs w:val="0"/>
              <w:noProof/>
              <w:sz w:val="22"/>
              <w:szCs w:val="22"/>
              <w:lang w:val="en-GB" w:eastAsia="en-GB"/>
            </w:rPr>
          </w:pPr>
          <w:hyperlink w:anchor="_Toc83725812" w:history="1">
            <w:r w:rsidRPr="00E372CA">
              <w:rPr>
                <w:rStyle w:val="Hyperlink"/>
                <w:noProof/>
                <w:spacing w:val="-1"/>
              </w:rPr>
              <w:t>IV.</w:t>
            </w:r>
            <w:r>
              <w:rPr>
                <w:rFonts w:asciiTheme="minorHAnsi" w:eastAsiaTheme="minorEastAsia" w:hAnsiTheme="minorHAnsi" w:cstheme="minorBidi"/>
                <w:b w:val="0"/>
                <w:bCs w:val="0"/>
                <w:noProof/>
                <w:sz w:val="22"/>
                <w:szCs w:val="22"/>
                <w:lang w:val="en-GB" w:eastAsia="en-GB"/>
              </w:rPr>
              <w:tab/>
            </w:r>
            <w:r w:rsidRPr="00E372CA">
              <w:rPr>
                <w:rStyle w:val="Hyperlink"/>
                <w:noProof/>
              </w:rPr>
              <w:t>Data request</w:t>
            </w:r>
            <w:r>
              <w:rPr>
                <w:noProof/>
                <w:webHidden/>
              </w:rPr>
              <w:tab/>
            </w:r>
            <w:r>
              <w:rPr>
                <w:noProof/>
                <w:webHidden/>
              </w:rPr>
              <w:fldChar w:fldCharType="begin"/>
            </w:r>
            <w:r>
              <w:rPr>
                <w:noProof/>
                <w:webHidden/>
              </w:rPr>
              <w:instrText xml:space="preserve"> PAGEREF _Toc83725812 \h </w:instrText>
            </w:r>
            <w:r>
              <w:rPr>
                <w:noProof/>
                <w:webHidden/>
              </w:rPr>
            </w:r>
            <w:r>
              <w:rPr>
                <w:noProof/>
                <w:webHidden/>
              </w:rPr>
              <w:fldChar w:fldCharType="separate"/>
            </w:r>
            <w:r>
              <w:rPr>
                <w:noProof/>
                <w:webHidden/>
              </w:rPr>
              <w:t>3</w:t>
            </w:r>
            <w:r>
              <w:rPr>
                <w:noProof/>
                <w:webHidden/>
              </w:rPr>
              <w:fldChar w:fldCharType="end"/>
            </w:r>
          </w:hyperlink>
        </w:p>
        <w:p w14:paraId="2EFC5C4E" w14:textId="69B8F491" w:rsidR="00603830" w:rsidRDefault="00603830">
          <w:pPr>
            <w:pStyle w:val="TOC1"/>
            <w:tabs>
              <w:tab w:val="left" w:pos="880"/>
              <w:tab w:val="right" w:leader="dot" w:pos="10580"/>
            </w:tabs>
            <w:rPr>
              <w:rFonts w:asciiTheme="minorHAnsi" w:eastAsiaTheme="minorEastAsia" w:hAnsiTheme="minorHAnsi" w:cstheme="minorBidi"/>
              <w:b w:val="0"/>
              <w:bCs w:val="0"/>
              <w:noProof/>
              <w:sz w:val="22"/>
              <w:szCs w:val="22"/>
              <w:lang w:val="en-GB" w:eastAsia="en-GB"/>
            </w:rPr>
          </w:pPr>
          <w:hyperlink w:anchor="_Toc83725813" w:history="1">
            <w:r w:rsidRPr="00E372CA">
              <w:rPr>
                <w:rStyle w:val="Hyperlink"/>
                <w:noProof/>
                <w:spacing w:val="-2"/>
              </w:rPr>
              <w:t>IV.1.</w:t>
            </w:r>
            <w:r>
              <w:rPr>
                <w:rFonts w:asciiTheme="minorHAnsi" w:eastAsiaTheme="minorEastAsia" w:hAnsiTheme="minorHAnsi" w:cstheme="minorBidi"/>
                <w:b w:val="0"/>
                <w:bCs w:val="0"/>
                <w:noProof/>
                <w:sz w:val="22"/>
                <w:szCs w:val="22"/>
                <w:lang w:val="en-GB" w:eastAsia="en-GB"/>
              </w:rPr>
              <w:tab/>
            </w:r>
            <w:r w:rsidRPr="00E372CA">
              <w:rPr>
                <w:rStyle w:val="Hyperlink"/>
                <w:noProof/>
              </w:rPr>
              <w:t>Overview</w:t>
            </w:r>
            <w:r>
              <w:rPr>
                <w:noProof/>
                <w:webHidden/>
              </w:rPr>
              <w:tab/>
            </w:r>
            <w:r>
              <w:rPr>
                <w:noProof/>
                <w:webHidden/>
              </w:rPr>
              <w:fldChar w:fldCharType="begin"/>
            </w:r>
            <w:r>
              <w:rPr>
                <w:noProof/>
                <w:webHidden/>
              </w:rPr>
              <w:instrText xml:space="preserve"> PAGEREF _Toc83725813 \h </w:instrText>
            </w:r>
            <w:r>
              <w:rPr>
                <w:noProof/>
                <w:webHidden/>
              </w:rPr>
            </w:r>
            <w:r>
              <w:rPr>
                <w:noProof/>
                <w:webHidden/>
              </w:rPr>
              <w:fldChar w:fldCharType="separate"/>
            </w:r>
            <w:r>
              <w:rPr>
                <w:noProof/>
                <w:webHidden/>
              </w:rPr>
              <w:t>3</w:t>
            </w:r>
            <w:r>
              <w:rPr>
                <w:noProof/>
                <w:webHidden/>
              </w:rPr>
              <w:fldChar w:fldCharType="end"/>
            </w:r>
          </w:hyperlink>
        </w:p>
        <w:p w14:paraId="226DF4AE" w14:textId="24EEF5D9" w:rsidR="00603830" w:rsidRDefault="00603830">
          <w:pPr>
            <w:pStyle w:val="TOC1"/>
            <w:tabs>
              <w:tab w:val="left" w:pos="880"/>
              <w:tab w:val="right" w:leader="dot" w:pos="10580"/>
            </w:tabs>
            <w:rPr>
              <w:rFonts w:asciiTheme="minorHAnsi" w:eastAsiaTheme="minorEastAsia" w:hAnsiTheme="minorHAnsi" w:cstheme="minorBidi"/>
              <w:b w:val="0"/>
              <w:bCs w:val="0"/>
              <w:noProof/>
              <w:sz w:val="22"/>
              <w:szCs w:val="22"/>
              <w:lang w:val="en-GB" w:eastAsia="en-GB"/>
            </w:rPr>
          </w:pPr>
          <w:hyperlink w:anchor="_Toc83725814" w:history="1">
            <w:r w:rsidRPr="00E372CA">
              <w:rPr>
                <w:rStyle w:val="Hyperlink"/>
                <w:noProof/>
                <w:spacing w:val="-2"/>
              </w:rPr>
              <w:t>IV.2.</w:t>
            </w:r>
            <w:r>
              <w:rPr>
                <w:rFonts w:asciiTheme="minorHAnsi" w:eastAsiaTheme="minorEastAsia" w:hAnsiTheme="minorHAnsi" w:cstheme="minorBidi"/>
                <w:b w:val="0"/>
                <w:bCs w:val="0"/>
                <w:noProof/>
                <w:sz w:val="22"/>
                <w:szCs w:val="22"/>
                <w:lang w:val="en-GB" w:eastAsia="en-GB"/>
              </w:rPr>
              <w:tab/>
            </w:r>
            <w:r w:rsidRPr="00E372CA">
              <w:rPr>
                <w:rStyle w:val="Hyperlink"/>
                <w:noProof/>
              </w:rPr>
              <w:t>Specification of the requested information and values.</w:t>
            </w:r>
            <w:r>
              <w:rPr>
                <w:noProof/>
                <w:webHidden/>
              </w:rPr>
              <w:tab/>
            </w:r>
            <w:r>
              <w:rPr>
                <w:noProof/>
                <w:webHidden/>
              </w:rPr>
              <w:fldChar w:fldCharType="begin"/>
            </w:r>
            <w:r>
              <w:rPr>
                <w:noProof/>
                <w:webHidden/>
              </w:rPr>
              <w:instrText xml:space="preserve"> PAGEREF _Toc83725814 \h </w:instrText>
            </w:r>
            <w:r>
              <w:rPr>
                <w:noProof/>
                <w:webHidden/>
              </w:rPr>
            </w:r>
            <w:r>
              <w:rPr>
                <w:noProof/>
                <w:webHidden/>
              </w:rPr>
              <w:fldChar w:fldCharType="separate"/>
            </w:r>
            <w:r>
              <w:rPr>
                <w:noProof/>
                <w:webHidden/>
              </w:rPr>
              <w:t>4</w:t>
            </w:r>
            <w:r>
              <w:rPr>
                <w:noProof/>
                <w:webHidden/>
              </w:rPr>
              <w:fldChar w:fldCharType="end"/>
            </w:r>
          </w:hyperlink>
        </w:p>
        <w:p w14:paraId="6F50709A" w14:textId="40857CAE" w:rsidR="00603830" w:rsidRDefault="00603830">
          <w:pPr>
            <w:pStyle w:val="TOC1"/>
            <w:tabs>
              <w:tab w:val="left" w:pos="880"/>
              <w:tab w:val="right" w:leader="dot" w:pos="10580"/>
            </w:tabs>
            <w:rPr>
              <w:rFonts w:asciiTheme="minorHAnsi" w:eastAsiaTheme="minorEastAsia" w:hAnsiTheme="minorHAnsi" w:cstheme="minorBidi"/>
              <w:b w:val="0"/>
              <w:bCs w:val="0"/>
              <w:noProof/>
              <w:sz w:val="22"/>
              <w:szCs w:val="22"/>
              <w:lang w:val="en-GB" w:eastAsia="en-GB"/>
            </w:rPr>
          </w:pPr>
          <w:hyperlink w:anchor="_Toc83725815" w:history="1">
            <w:r w:rsidRPr="00E372CA">
              <w:rPr>
                <w:rStyle w:val="Hyperlink"/>
                <w:noProof/>
                <w:spacing w:val="-2"/>
              </w:rPr>
              <w:t>IV.3.</w:t>
            </w:r>
            <w:r>
              <w:rPr>
                <w:rFonts w:asciiTheme="minorHAnsi" w:eastAsiaTheme="minorEastAsia" w:hAnsiTheme="minorHAnsi" w:cstheme="minorBidi"/>
                <w:b w:val="0"/>
                <w:bCs w:val="0"/>
                <w:noProof/>
                <w:sz w:val="22"/>
                <w:szCs w:val="22"/>
                <w:lang w:val="en-GB" w:eastAsia="en-GB"/>
              </w:rPr>
              <w:tab/>
            </w:r>
            <w:r w:rsidRPr="00E372CA">
              <w:rPr>
                <w:rStyle w:val="Hyperlink"/>
                <w:noProof/>
              </w:rPr>
              <w:t>More detailed specification of parts of the data request</w:t>
            </w:r>
            <w:r>
              <w:rPr>
                <w:noProof/>
                <w:webHidden/>
              </w:rPr>
              <w:tab/>
            </w:r>
            <w:r>
              <w:rPr>
                <w:noProof/>
                <w:webHidden/>
              </w:rPr>
              <w:fldChar w:fldCharType="begin"/>
            </w:r>
            <w:r>
              <w:rPr>
                <w:noProof/>
                <w:webHidden/>
              </w:rPr>
              <w:instrText xml:space="preserve"> PAGEREF _Toc83725815 \h </w:instrText>
            </w:r>
            <w:r>
              <w:rPr>
                <w:noProof/>
                <w:webHidden/>
              </w:rPr>
            </w:r>
            <w:r>
              <w:rPr>
                <w:noProof/>
                <w:webHidden/>
              </w:rPr>
              <w:fldChar w:fldCharType="separate"/>
            </w:r>
            <w:r>
              <w:rPr>
                <w:noProof/>
                <w:webHidden/>
              </w:rPr>
              <w:t>5</w:t>
            </w:r>
            <w:r>
              <w:rPr>
                <w:noProof/>
                <w:webHidden/>
              </w:rPr>
              <w:fldChar w:fldCharType="end"/>
            </w:r>
          </w:hyperlink>
        </w:p>
        <w:p w14:paraId="7BFCC964" w14:textId="226CBDAD" w:rsidR="00603830" w:rsidRDefault="00603830">
          <w:pPr>
            <w:pStyle w:val="TOC1"/>
            <w:tabs>
              <w:tab w:val="right" w:leader="dot" w:pos="10580"/>
            </w:tabs>
            <w:rPr>
              <w:rFonts w:asciiTheme="minorHAnsi" w:eastAsiaTheme="minorEastAsia" w:hAnsiTheme="minorHAnsi" w:cstheme="minorBidi"/>
              <w:b w:val="0"/>
              <w:bCs w:val="0"/>
              <w:noProof/>
              <w:sz w:val="22"/>
              <w:szCs w:val="22"/>
              <w:lang w:val="en-GB" w:eastAsia="en-GB"/>
            </w:rPr>
          </w:pPr>
          <w:hyperlink w:anchor="_Toc83725816" w:history="1">
            <w:r w:rsidRPr="00E372CA">
              <w:rPr>
                <w:rStyle w:val="Hyperlink"/>
                <w:noProof/>
                <w:spacing w:val="-1"/>
              </w:rPr>
              <w:t>V.</w:t>
            </w:r>
            <w:r>
              <w:rPr>
                <w:rFonts w:asciiTheme="minorHAnsi" w:eastAsiaTheme="minorEastAsia" w:hAnsiTheme="minorHAnsi" w:cstheme="minorBidi"/>
                <w:b w:val="0"/>
                <w:bCs w:val="0"/>
                <w:noProof/>
                <w:sz w:val="22"/>
                <w:szCs w:val="22"/>
                <w:lang w:val="en-GB" w:eastAsia="en-GB"/>
              </w:rPr>
              <w:tab/>
            </w:r>
            <w:r w:rsidRPr="00E372CA">
              <w:rPr>
                <w:rStyle w:val="Hyperlink"/>
                <w:noProof/>
              </w:rPr>
              <w:t>Deadline and practical aspects of filling out the data request</w:t>
            </w:r>
            <w:r>
              <w:rPr>
                <w:noProof/>
                <w:webHidden/>
              </w:rPr>
              <w:tab/>
            </w:r>
            <w:r>
              <w:rPr>
                <w:noProof/>
                <w:webHidden/>
              </w:rPr>
              <w:fldChar w:fldCharType="begin"/>
            </w:r>
            <w:r>
              <w:rPr>
                <w:noProof/>
                <w:webHidden/>
              </w:rPr>
              <w:instrText xml:space="preserve"> PAGEREF _Toc83725816 \h </w:instrText>
            </w:r>
            <w:r>
              <w:rPr>
                <w:noProof/>
                <w:webHidden/>
              </w:rPr>
            </w:r>
            <w:r>
              <w:rPr>
                <w:noProof/>
                <w:webHidden/>
              </w:rPr>
              <w:fldChar w:fldCharType="separate"/>
            </w:r>
            <w:r>
              <w:rPr>
                <w:noProof/>
                <w:webHidden/>
              </w:rPr>
              <w:t>10</w:t>
            </w:r>
            <w:r>
              <w:rPr>
                <w:noProof/>
                <w:webHidden/>
              </w:rPr>
              <w:fldChar w:fldCharType="end"/>
            </w:r>
          </w:hyperlink>
        </w:p>
        <w:p w14:paraId="79352CDC" w14:textId="67867AAD" w:rsidR="00C27EAD" w:rsidRPr="000829BF" w:rsidRDefault="00E9509A" w:rsidP="00E93EAE">
          <w:pPr>
            <w:pStyle w:val="TOC1"/>
            <w:tabs>
              <w:tab w:val="left" w:pos="880"/>
              <w:tab w:val="right" w:leader="dot" w:pos="9639"/>
              <w:tab w:val="right" w:leader="dot" w:pos="10580"/>
            </w:tabs>
            <w:ind w:right="951"/>
            <w:rPr>
              <w:sz w:val="22"/>
            </w:rPr>
          </w:pPr>
          <w:r>
            <w:rPr>
              <w:b w:val="0"/>
              <w:bCs w:val="0"/>
              <w:noProof/>
            </w:rPr>
            <w:fldChar w:fldCharType="end"/>
          </w:r>
        </w:p>
      </w:sdtContent>
    </w:sdt>
    <w:p w14:paraId="0806E49E" w14:textId="79326544" w:rsidR="00C27EAD" w:rsidRDefault="00957814" w:rsidP="00E93EAE">
      <w:pPr>
        <w:pStyle w:val="Heading1"/>
        <w:numPr>
          <w:ilvl w:val="0"/>
          <w:numId w:val="13"/>
        </w:numPr>
        <w:spacing w:before="176"/>
        <w:ind w:right="951" w:hanging="361"/>
      </w:pPr>
      <w:bookmarkStart w:id="0" w:name="_Toc47537708"/>
      <w:bookmarkStart w:id="1" w:name="_Toc83725809"/>
      <w:r>
        <w:t>Purpose</w:t>
      </w:r>
      <w:bookmarkEnd w:id="0"/>
      <w:bookmarkEnd w:id="1"/>
    </w:p>
    <w:p w14:paraId="493EC298" w14:textId="77777777" w:rsidR="00603830" w:rsidRPr="00603830" w:rsidRDefault="00603830" w:rsidP="00603830">
      <w:pPr>
        <w:pStyle w:val="BodyText"/>
        <w:spacing w:before="179"/>
        <w:ind w:left="112" w:right="6"/>
        <w:jc w:val="both"/>
        <w:rPr>
          <w:rFonts w:asciiTheme="majorHAnsi" w:hAnsiTheme="majorHAnsi"/>
        </w:rPr>
      </w:pPr>
      <w:bookmarkStart w:id="2" w:name="_Toc47537709"/>
      <w:r w:rsidRPr="00603830">
        <w:rPr>
          <w:rFonts w:asciiTheme="majorHAnsi" w:hAnsiTheme="majorHAnsi"/>
        </w:rPr>
        <w:t>The aim of this document is to provide instructions to the insurance undertakings participating in the second phase of the EEA-wide comparative study on diversification in internal models.</w:t>
      </w:r>
      <w:r w:rsidRPr="00603830">
        <w:rPr>
          <w:rFonts w:asciiTheme="majorHAnsi" w:hAnsiTheme="majorHAnsi"/>
          <w:spacing w:val="-6"/>
        </w:rPr>
        <w:t xml:space="preserve"> </w:t>
      </w:r>
      <w:r w:rsidRPr="00603830">
        <w:rPr>
          <w:rFonts w:asciiTheme="majorHAnsi" w:hAnsiTheme="majorHAnsi"/>
        </w:rPr>
        <w:t>It should be considered carefully before filling</w:t>
      </w:r>
      <w:r w:rsidRPr="00603830">
        <w:rPr>
          <w:rFonts w:asciiTheme="majorHAnsi" w:hAnsiTheme="majorHAnsi"/>
          <w:spacing w:val="-12"/>
        </w:rPr>
        <w:t xml:space="preserve"> </w:t>
      </w:r>
      <w:r w:rsidRPr="00603830">
        <w:rPr>
          <w:rFonts w:asciiTheme="majorHAnsi" w:hAnsiTheme="majorHAnsi"/>
        </w:rPr>
        <w:t>out the response templates.</w:t>
      </w:r>
    </w:p>
    <w:p w14:paraId="3D89F2F4" w14:textId="786B0EEB" w:rsidR="006A0271" w:rsidRPr="00C42A3D" w:rsidRDefault="00C42A3D" w:rsidP="00E93EAE">
      <w:pPr>
        <w:pStyle w:val="Heading1"/>
        <w:numPr>
          <w:ilvl w:val="0"/>
          <w:numId w:val="13"/>
        </w:numPr>
        <w:spacing w:before="176"/>
        <w:ind w:right="951" w:hanging="361"/>
      </w:pPr>
      <w:bookmarkStart w:id="3" w:name="_Toc83725810"/>
      <w:r w:rsidRPr="00C42A3D">
        <w:t>Context</w:t>
      </w:r>
      <w:bookmarkEnd w:id="2"/>
      <w:bookmarkEnd w:id="3"/>
    </w:p>
    <w:p w14:paraId="50A40EEB" w14:textId="77777777" w:rsidR="00603830" w:rsidRPr="00603830" w:rsidRDefault="00603830" w:rsidP="00603830">
      <w:pPr>
        <w:spacing w:before="71"/>
        <w:ind w:left="113" w:right="6"/>
        <w:jc w:val="both"/>
        <w:rPr>
          <w:rFonts w:asciiTheme="majorHAnsi" w:hAnsiTheme="majorHAnsi"/>
          <w:i/>
        </w:rPr>
      </w:pPr>
      <w:bookmarkStart w:id="4" w:name="_Toc47537710"/>
      <w:r w:rsidRPr="00603830">
        <w:rPr>
          <w:rFonts w:asciiTheme="majorHAnsi" w:hAnsiTheme="majorHAnsi"/>
          <w:i/>
        </w:rPr>
        <w:t xml:space="preserve">Diversification </w:t>
      </w:r>
    </w:p>
    <w:p w14:paraId="40DD38BE" w14:textId="77777777" w:rsidR="00603830" w:rsidRPr="00603830" w:rsidRDefault="00603830" w:rsidP="00603830">
      <w:pPr>
        <w:spacing w:before="71"/>
        <w:ind w:left="113" w:right="6"/>
        <w:jc w:val="both"/>
        <w:rPr>
          <w:rFonts w:asciiTheme="majorHAnsi" w:hAnsiTheme="majorHAnsi"/>
        </w:rPr>
      </w:pPr>
      <w:r w:rsidRPr="00603830">
        <w:rPr>
          <w:rFonts w:asciiTheme="majorHAnsi" w:hAnsiTheme="majorHAnsi"/>
        </w:rPr>
        <w:t>In general, the modelling of dependencies and aggregation, as effect typically called diversification, within internal models has a significant impact to the overall solvency capital requirement (SCR) of insurance</w:t>
      </w:r>
      <w:r w:rsidRPr="00603830">
        <w:rPr>
          <w:rFonts w:asciiTheme="majorHAnsi" w:hAnsiTheme="majorHAnsi"/>
          <w:spacing w:val="-4"/>
        </w:rPr>
        <w:t xml:space="preserve"> </w:t>
      </w:r>
      <w:r w:rsidRPr="00603830">
        <w:rPr>
          <w:rFonts w:asciiTheme="majorHAnsi" w:hAnsiTheme="majorHAnsi"/>
        </w:rPr>
        <w:t>undertakings.</w:t>
      </w:r>
    </w:p>
    <w:p w14:paraId="01D6B608" w14:textId="77777777" w:rsidR="00603830" w:rsidRPr="00603830" w:rsidRDefault="00603830" w:rsidP="00603830">
      <w:pPr>
        <w:spacing w:before="120"/>
        <w:ind w:left="113" w:right="6"/>
        <w:jc w:val="both"/>
        <w:rPr>
          <w:rFonts w:asciiTheme="majorHAnsi" w:hAnsiTheme="majorHAnsi"/>
        </w:rPr>
      </w:pPr>
      <w:r w:rsidRPr="00603830">
        <w:rPr>
          <w:rFonts w:asciiTheme="majorHAnsi" w:hAnsiTheme="majorHAnsi"/>
        </w:rPr>
        <w:t>The objectives of the Diversification Project Group are the following:</w:t>
      </w:r>
    </w:p>
    <w:p w14:paraId="2511FEB0" w14:textId="77777777" w:rsidR="00603830" w:rsidRPr="00603830" w:rsidRDefault="00603830" w:rsidP="00603830">
      <w:pPr>
        <w:pStyle w:val="ListParagraph"/>
        <w:numPr>
          <w:ilvl w:val="0"/>
          <w:numId w:val="49"/>
        </w:numPr>
        <w:ind w:right="6"/>
        <w:rPr>
          <w:rFonts w:asciiTheme="majorHAnsi" w:hAnsiTheme="majorHAnsi"/>
        </w:rPr>
      </w:pPr>
      <w:r w:rsidRPr="00603830">
        <w:rPr>
          <w:rFonts w:asciiTheme="majorHAnsi" w:hAnsiTheme="majorHAnsi"/>
        </w:rPr>
        <w:t>Gain an overview of the current approaches in the market and, on best effort basis, analyse and compare the levels of diversification</w:t>
      </w:r>
    </w:p>
    <w:p w14:paraId="3E647F1B" w14:textId="77777777" w:rsidR="00603830" w:rsidRPr="00603830" w:rsidRDefault="00603830" w:rsidP="00603830">
      <w:pPr>
        <w:pStyle w:val="ListParagraph"/>
        <w:numPr>
          <w:ilvl w:val="0"/>
          <w:numId w:val="49"/>
        </w:numPr>
        <w:ind w:right="6"/>
        <w:rPr>
          <w:rFonts w:asciiTheme="majorHAnsi" w:hAnsiTheme="majorHAnsi"/>
        </w:rPr>
      </w:pPr>
      <w:r w:rsidRPr="00603830">
        <w:rPr>
          <w:rFonts w:asciiTheme="majorHAnsi" w:hAnsiTheme="majorHAnsi"/>
        </w:rPr>
        <w:t xml:space="preserve">Facilitate a better understanding of modelling dependencies, aggregation and resulting diversification benefits </w:t>
      </w:r>
    </w:p>
    <w:p w14:paraId="306CFF22" w14:textId="77777777" w:rsidR="00603830" w:rsidRPr="00603830" w:rsidRDefault="00603830" w:rsidP="00603830">
      <w:pPr>
        <w:pStyle w:val="ListParagraph"/>
        <w:numPr>
          <w:ilvl w:val="0"/>
          <w:numId w:val="49"/>
        </w:numPr>
        <w:ind w:right="6"/>
        <w:rPr>
          <w:rFonts w:asciiTheme="majorHAnsi" w:hAnsiTheme="majorHAnsi"/>
        </w:rPr>
      </w:pPr>
      <w:r w:rsidRPr="00603830">
        <w:rPr>
          <w:rFonts w:asciiTheme="majorHAnsi" w:hAnsiTheme="majorHAnsi"/>
        </w:rPr>
        <w:t xml:space="preserve">Enhance quality and convergence of supervision in internal models. </w:t>
      </w:r>
    </w:p>
    <w:p w14:paraId="60848A66" w14:textId="77777777" w:rsidR="00603830" w:rsidRPr="00603830" w:rsidRDefault="00603830" w:rsidP="00603830">
      <w:pPr>
        <w:spacing w:before="122"/>
        <w:ind w:left="113" w:right="6"/>
        <w:jc w:val="both"/>
        <w:rPr>
          <w:rFonts w:asciiTheme="majorHAnsi" w:hAnsiTheme="majorHAnsi"/>
        </w:rPr>
      </w:pPr>
      <w:r w:rsidRPr="00603830">
        <w:rPr>
          <w:rFonts w:asciiTheme="majorHAnsi" w:hAnsiTheme="majorHAnsi"/>
        </w:rPr>
        <w:t xml:space="preserve">The study is carried out in two phases to balance complexity and completeness. The first phase of the study, that </w:t>
      </w:r>
      <w:r w:rsidRPr="00603830">
        <w:rPr>
          <w:rFonts w:asciiTheme="majorHAnsi" w:hAnsiTheme="majorHAnsi"/>
        </w:rPr>
        <w:lastRenderedPageBreak/>
        <w:t>has started early October 2020, focusses on top-level risk dependencies between market, credit, life, non-life, health, and operational risks. The second phase of the study, that will start early October 2021, focuses on the lower level inter risk dependencies in order to complete the understanding of diversification effects, in combination to the respective risk profiles.</w:t>
      </w:r>
    </w:p>
    <w:p w14:paraId="57BE5D18" w14:textId="77777777" w:rsidR="00603830" w:rsidRPr="00603830" w:rsidRDefault="00603830" w:rsidP="00603830">
      <w:pPr>
        <w:spacing w:before="122"/>
        <w:ind w:left="113" w:right="6"/>
        <w:jc w:val="both"/>
        <w:rPr>
          <w:rFonts w:asciiTheme="majorHAnsi" w:hAnsiTheme="majorHAnsi"/>
          <w:sz w:val="20"/>
        </w:rPr>
      </w:pPr>
      <w:r w:rsidRPr="00603830">
        <w:rPr>
          <w:rFonts w:asciiTheme="majorHAnsi" w:hAnsiTheme="majorHAnsi"/>
        </w:rPr>
        <w:t xml:space="preserve">This data request aims to support meeting the objectives of the Diversification study in Internal Models. </w:t>
      </w:r>
    </w:p>
    <w:p w14:paraId="3D064D17" w14:textId="77777777" w:rsidR="00603830" w:rsidRPr="00603830" w:rsidRDefault="00603830" w:rsidP="00603830">
      <w:pPr>
        <w:spacing w:before="71"/>
        <w:ind w:left="113" w:right="6"/>
        <w:jc w:val="both"/>
        <w:rPr>
          <w:rFonts w:asciiTheme="majorHAnsi" w:hAnsiTheme="majorHAnsi"/>
          <w:i/>
        </w:rPr>
      </w:pPr>
      <w:r w:rsidRPr="00603830">
        <w:rPr>
          <w:rFonts w:asciiTheme="majorHAnsi" w:hAnsiTheme="majorHAnsi"/>
          <w:i/>
        </w:rPr>
        <w:t>References</w:t>
      </w:r>
    </w:p>
    <w:p w14:paraId="35C8505C" w14:textId="77777777" w:rsidR="00603830" w:rsidRPr="00603830" w:rsidRDefault="00603830" w:rsidP="00603830">
      <w:pPr>
        <w:spacing w:before="121"/>
        <w:ind w:left="113" w:right="6"/>
        <w:jc w:val="both"/>
        <w:rPr>
          <w:rFonts w:asciiTheme="majorHAnsi" w:hAnsiTheme="majorHAnsi"/>
        </w:rPr>
      </w:pPr>
      <w:r w:rsidRPr="00603830">
        <w:rPr>
          <w:rFonts w:asciiTheme="majorHAnsi" w:hAnsiTheme="majorHAnsi"/>
        </w:rPr>
        <w:t>Comparative studies are supported by the EIOPA opinion ‘</w:t>
      </w:r>
      <w:r w:rsidRPr="00603830">
        <w:rPr>
          <w:rFonts w:asciiTheme="majorHAnsi" w:hAnsiTheme="majorHAnsi"/>
          <w:i/>
        </w:rPr>
        <w:t>EIOPA-BoS-15/083</w:t>
      </w:r>
      <w:r w:rsidRPr="00603830">
        <w:rPr>
          <w:rStyle w:val="FootnoteReference"/>
          <w:rFonts w:asciiTheme="majorHAnsi" w:hAnsiTheme="majorHAnsi"/>
          <w:i/>
        </w:rPr>
        <w:footnoteReference w:id="2"/>
      </w:r>
      <w:r w:rsidRPr="00603830">
        <w:rPr>
          <w:rFonts w:asciiTheme="majorHAnsi" w:hAnsiTheme="majorHAnsi"/>
          <w:i/>
        </w:rPr>
        <w:t xml:space="preserve">’ </w:t>
      </w:r>
      <w:r w:rsidRPr="00603830">
        <w:rPr>
          <w:rFonts w:asciiTheme="majorHAnsi" w:hAnsiTheme="majorHAnsi"/>
        </w:rPr>
        <w:t>of 14 April 2015. The Board of Supervisors has authorized this data request.</w:t>
      </w:r>
    </w:p>
    <w:p w14:paraId="72085D8F" w14:textId="36A15FE2" w:rsidR="0050021B" w:rsidRPr="0050021B" w:rsidRDefault="0050021B" w:rsidP="00E93EAE">
      <w:pPr>
        <w:pStyle w:val="Heading1"/>
        <w:numPr>
          <w:ilvl w:val="0"/>
          <w:numId w:val="13"/>
        </w:numPr>
        <w:spacing w:before="176"/>
        <w:ind w:left="567" w:right="951" w:hanging="567"/>
      </w:pPr>
      <w:bookmarkStart w:id="5" w:name="_Toc83725811"/>
      <w:r w:rsidRPr="0050021B">
        <w:t>Participation to this data request</w:t>
      </w:r>
      <w:bookmarkEnd w:id="4"/>
      <w:bookmarkEnd w:id="5"/>
    </w:p>
    <w:p w14:paraId="45FA2C5D" w14:textId="77777777" w:rsidR="0050021B" w:rsidRPr="0050021B" w:rsidRDefault="0050021B" w:rsidP="00E93EAE">
      <w:pPr>
        <w:spacing w:before="7"/>
        <w:ind w:right="951"/>
        <w:rPr>
          <w:b/>
          <w:sz w:val="20"/>
        </w:rPr>
      </w:pPr>
    </w:p>
    <w:p w14:paraId="175040D4" w14:textId="77777777" w:rsidR="00603830" w:rsidRPr="00603830" w:rsidRDefault="00603830" w:rsidP="00603830">
      <w:pPr>
        <w:ind w:left="113" w:right="6"/>
        <w:jc w:val="both"/>
        <w:rPr>
          <w:rFonts w:asciiTheme="majorHAnsi" w:hAnsiTheme="majorHAnsi"/>
          <w:i/>
        </w:rPr>
      </w:pPr>
      <w:r w:rsidRPr="00603830">
        <w:rPr>
          <w:rFonts w:asciiTheme="majorHAnsi" w:hAnsiTheme="majorHAnsi"/>
          <w:i/>
        </w:rPr>
        <w:t>Expectation on participation</w:t>
      </w:r>
    </w:p>
    <w:p w14:paraId="7CD3BC9C" w14:textId="77777777" w:rsidR="00603830" w:rsidRPr="00603830" w:rsidRDefault="00603830" w:rsidP="00603830">
      <w:pPr>
        <w:ind w:left="113" w:right="6"/>
        <w:jc w:val="both"/>
        <w:rPr>
          <w:rFonts w:asciiTheme="majorHAnsi" w:hAnsiTheme="majorHAnsi"/>
        </w:rPr>
      </w:pPr>
      <w:r w:rsidRPr="00603830">
        <w:rPr>
          <w:rFonts w:asciiTheme="majorHAnsi" w:hAnsiTheme="majorHAnsi"/>
        </w:rPr>
        <w:t>Participants are individual undertakings of the EEA</w:t>
      </w:r>
      <w:r w:rsidRPr="00603830">
        <w:rPr>
          <w:rStyle w:val="FootnoteReference"/>
          <w:rFonts w:asciiTheme="majorHAnsi" w:hAnsiTheme="majorHAnsi"/>
        </w:rPr>
        <w:t xml:space="preserve"> </w:t>
      </w:r>
      <w:r w:rsidRPr="00603830">
        <w:rPr>
          <w:rFonts w:asciiTheme="majorHAnsi" w:hAnsiTheme="majorHAnsi"/>
        </w:rPr>
        <w:t xml:space="preserve">using an approved internal model. All participants that took part to the first phase of the study are expected to participate in the second phase. Participants who did not participate in the first phase are also requested in the second phase of the study and where required, insurance groups are also expected to participate on request of the group supervisor. </w:t>
      </w:r>
    </w:p>
    <w:p w14:paraId="61F7A455" w14:textId="77777777" w:rsidR="00603830" w:rsidRPr="00603830" w:rsidRDefault="00603830" w:rsidP="00603830">
      <w:pPr>
        <w:ind w:left="113" w:right="6"/>
        <w:jc w:val="both"/>
        <w:rPr>
          <w:rFonts w:asciiTheme="majorHAnsi" w:hAnsiTheme="majorHAnsi"/>
        </w:rPr>
      </w:pPr>
      <w:r w:rsidRPr="00603830">
        <w:rPr>
          <w:rFonts w:asciiTheme="majorHAnsi" w:hAnsiTheme="majorHAnsi"/>
        </w:rPr>
        <w:t>Undertakings are not expected to fill in the Excel template if:</w:t>
      </w:r>
    </w:p>
    <w:p w14:paraId="74682DDD" w14:textId="77777777" w:rsidR="00603830" w:rsidRPr="00603830" w:rsidRDefault="00603830" w:rsidP="00603830">
      <w:pPr>
        <w:pStyle w:val="ListParagraph"/>
        <w:numPr>
          <w:ilvl w:val="0"/>
          <w:numId w:val="53"/>
        </w:numPr>
        <w:ind w:right="6"/>
        <w:jc w:val="both"/>
        <w:rPr>
          <w:rFonts w:asciiTheme="majorHAnsi" w:hAnsiTheme="majorHAnsi"/>
        </w:rPr>
      </w:pPr>
      <w:r w:rsidRPr="00603830">
        <w:rPr>
          <w:rFonts w:asciiTheme="majorHAnsi" w:hAnsiTheme="majorHAnsi"/>
        </w:rPr>
        <w:t>the aggregation between the risks and subrisks mentioned in the template follows the modular Standard Formula approach including its exact correlation settings, or,</w:t>
      </w:r>
    </w:p>
    <w:p w14:paraId="5BB46115" w14:textId="77777777" w:rsidR="00603830" w:rsidRPr="00603830" w:rsidRDefault="00603830" w:rsidP="00603830">
      <w:pPr>
        <w:pStyle w:val="ListParagraph"/>
        <w:numPr>
          <w:ilvl w:val="0"/>
          <w:numId w:val="53"/>
        </w:numPr>
        <w:ind w:right="6"/>
        <w:jc w:val="both"/>
        <w:rPr>
          <w:rFonts w:asciiTheme="majorHAnsi" w:hAnsiTheme="majorHAnsi"/>
        </w:rPr>
      </w:pPr>
      <w:r w:rsidRPr="00603830">
        <w:rPr>
          <w:rFonts w:asciiTheme="majorHAnsi" w:hAnsiTheme="majorHAnsi"/>
        </w:rPr>
        <w:t>the aggregation and diversification components of the internal model only applies to Non-Life or Health NSLT sub-risks and the aggregation for all other risks and sub-risks follows the Standard Formula exactly.</w:t>
      </w:r>
    </w:p>
    <w:p w14:paraId="31FD4EC0" w14:textId="77777777" w:rsidR="00603830" w:rsidRPr="00603830" w:rsidRDefault="00603830" w:rsidP="00603830">
      <w:pPr>
        <w:spacing w:before="6"/>
        <w:ind w:right="6"/>
        <w:rPr>
          <w:rFonts w:asciiTheme="majorHAnsi" w:hAnsiTheme="majorHAnsi"/>
          <w:sz w:val="20"/>
        </w:rPr>
      </w:pPr>
    </w:p>
    <w:p w14:paraId="5DC2F9B5" w14:textId="77777777" w:rsidR="00603830" w:rsidRPr="00603830" w:rsidRDefault="00603830" w:rsidP="00603830">
      <w:pPr>
        <w:spacing w:before="6"/>
        <w:ind w:right="6"/>
        <w:rPr>
          <w:rFonts w:asciiTheme="majorHAnsi" w:hAnsiTheme="majorHAnsi"/>
        </w:rPr>
      </w:pPr>
      <w:r w:rsidRPr="00603830">
        <w:rPr>
          <w:rFonts w:asciiTheme="majorHAnsi" w:hAnsiTheme="majorHAnsi"/>
          <w:lang w:val="fr-BE"/>
        </w:rPr>
        <w:t xml:space="preserve">The data request comprises a quantitative and qualitative questionnaire. </w:t>
      </w:r>
      <w:r w:rsidRPr="00603830">
        <w:rPr>
          <w:rFonts w:asciiTheme="majorHAnsi" w:hAnsiTheme="majorHAnsi"/>
        </w:rPr>
        <w:t xml:space="preserve">The qualitative questionnaire serves to accompany the Excel template and to gain insight in the wider context of diversification in Internal Models. </w:t>
      </w:r>
    </w:p>
    <w:p w14:paraId="1BF28C6B" w14:textId="77777777" w:rsidR="00603830" w:rsidRPr="00603830" w:rsidRDefault="00603830" w:rsidP="00603830">
      <w:pPr>
        <w:spacing w:before="6"/>
        <w:ind w:right="6"/>
        <w:rPr>
          <w:rFonts w:asciiTheme="majorHAnsi" w:hAnsiTheme="majorHAnsi"/>
          <w:sz w:val="20"/>
        </w:rPr>
      </w:pPr>
    </w:p>
    <w:p w14:paraId="43019B6B" w14:textId="77777777" w:rsidR="00603830" w:rsidRPr="00603830" w:rsidRDefault="00603830" w:rsidP="00603830">
      <w:pPr>
        <w:spacing w:before="1"/>
        <w:ind w:left="113" w:right="6"/>
        <w:jc w:val="both"/>
        <w:rPr>
          <w:rFonts w:asciiTheme="majorHAnsi" w:hAnsiTheme="majorHAnsi"/>
          <w:i/>
        </w:rPr>
      </w:pPr>
      <w:r w:rsidRPr="00603830">
        <w:rPr>
          <w:rFonts w:asciiTheme="majorHAnsi" w:hAnsiTheme="majorHAnsi"/>
          <w:i/>
        </w:rPr>
        <w:t>Preliminary assumption</w:t>
      </w:r>
    </w:p>
    <w:p w14:paraId="2FB43AB4" w14:textId="77777777" w:rsidR="00603830" w:rsidRPr="00603830" w:rsidRDefault="00603830" w:rsidP="00603830">
      <w:pPr>
        <w:spacing w:before="119"/>
        <w:ind w:left="113" w:right="6"/>
        <w:jc w:val="both"/>
        <w:rPr>
          <w:rFonts w:asciiTheme="majorHAnsi" w:hAnsiTheme="majorHAnsi"/>
        </w:rPr>
      </w:pPr>
      <w:r w:rsidRPr="00603830">
        <w:rPr>
          <w:rFonts w:asciiTheme="majorHAnsi" w:hAnsiTheme="majorHAnsi"/>
        </w:rPr>
        <w:t>The</w:t>
      </w:r>
      <w:r w:rsidRPr="00603830">
        <w:rPr>
          <w:rFonts w:asciiTheme="majorHAnsi" w:hAnsiTheme="majorHAnsi"/>
          <w:spacing w:val="-14"/>
        </w:rPr>
        <w:t xml:space="preserve"> </w:t>
      </w:r>
      <w:r w:rsidRPr="00603830">
        <w:rPr>
          <w:rFonts w:asciiTheme="majorHAnsi" w:hAnsiTheme="majorHAnsi"/>
        </w:rPr>
        <w:t>data</w:t>
      </w:r>
      <w:r w:rsidRPr="00603830">
        <w:rPr>
          <w:rFonts w:asciiTheme="majorHAnsi" w:hAnsiTheme="majorHAnsi"/>
          <w:spacing w:val="-14"/>
        </w:rPr>
        <w:t xml:space="preserve"> </w:t>
      </w:r>
      <w:r w:rsidRPr="00603830">
        <w:rPr>
          <w:rFonts w:asciiTheme="majorHAnsi" w:hAnsiTheme="majorHAnsi"/>
        </w:rPr>
        <w:t>request</w:t>
      </w:r>
      <w:r w:rsidRPr="00603830">
        <w:rPr>
          <w:rFonts w:asciiTheme="majorHAnsi" w:hAnsiTheme="majorHAnsi"/>
          <w:spacing w:val="-13"/>
        </w:rPr>
        <w:t xml:space="preserve"> </w:t>
      </w:r>
      <w:r w:rsidRPr="00603830">
        <w:rPr>
          <w:rFonts w:asciiTheme="majorHAnsi" w:hAnsiTheme="majorHAnsi"/>
        </w:rPr>
        <w:t>assumes</w:t>
      </w:r>
      <w:r w:rsidRPr="00603830">
        <w:rPr>
          <w:rFonts w:asciiTheme="majorHAnsi" w:hAnsiTheme="majorHAnsi"/>
          <w:spacing w:val="-14"/>
        </w:rPr>
        <w:t xml:space="preserve"> </w:t>
      </w:r>
      <w:r w:rsidRPr="00603830">
        <w:rPr>
          <w:rFonts w:asciiTheme="majorHAnsi" w:hAnsiTheme="majorHAnsi"/>
        </w:rPr>
        <w:t>that</w:t>
      </w:r>
      <w:r w:rsidRPr="00603830">
        <w:rPr>
          <w:rFonts w:asciiTheme="majorHAnsi" w:hAnsiTheme="majorHAnsi"/>
          <w:spacing w:val="-10"/>
        </w:rPr>
        <w:t xml:space="preserve"> </w:t>
      </w:r>
      <w:r w:rsidRPr="00603830">
        <w:rPr>
          <w:rFonts w:asciiTheme="majorHAnsi" w:hAnsiTheme="majorHAnsi"/>
        </w:rPr>
        <w:t>for</w:t>
      </w:r>
      <w:r w:rsidRPr="00603830">
        <w:rPr>
          <w:rFonts w:asciiTheme="majorHAnsi" w:hAnsiTheme="majorHAnsi"/>
          <w:spacing w:val="-13"/>
        </w:rPr>
        <w:t xml:space="preserve"> </w:t>
      </w:r>
      <w:r w:rsidRPr="00603830">
        <w:rPr>
          <w:rFonts w:asciiTheme="majorHAnsi" w:hAnsiTheme="majorHAnsi"/>
        </w:rPr>
        <w:t>the</w:t>
      </w:r>
      <w:r w:rsidRPr="00603830">
        <w:rPr>
          <w:rFonts w:asciiTheme="majorHAnsi" w:hAnsiTheme="majorHAnsi"/>
          <w:spacing w:val="-13"/>
        </w:rPr>
        <w:t xml:space="preserve"> </w:t>
      </w:r>
      <w:r w:rsidRPr="00603830">
        <w:rPr>
          <w:rFonts w:asciiTheme="majorHAnsi" w:hAnsiTheme="majorHAnsi"/>
        </w:rPr>
        <w:t>total SCR,</w:t>
      </w:r>
      <w:r w:rsidRPr="00603830">
        <w:rPr>
          <w:rFonts w:asciiTheme="majorHAnsi" w:hAnsiTheme="majorHAnsi"/>
          <w:spacing w:val="-15"/>
        </w:rPr>
        <w:t xml:space="preserve"> </w:t>
      </w:r>
      <w:r w:rsidRPr="00603830">
        <w:rPr>
          <w:rFonts w:asciiTheme="majorHAnsi" w:hAnsiTheme="majorHAnsi"/>
        </w:rPr>
        <w:t>at</w:t>
      </w:r>
      <w:r w:rsidRPr="00603830">
        <w:rPr>
          <w:rFonts w:asciiTheme="majorHAnsi" w:hAnsiTheme="majorHAnsi"/>
          <w:spacing w:val="-12"/>
        </w:rPr>
        <w:t xml:space="preserve"> </w:t>
      </w:r>
      <w:r w:rsidRPr="00603830">
        <w:rPr>
          <w:rFonts w:asciiTheme="majorHAnsi" w:hAnsiTheme="majorHAnsi"/>
        </w:rPr>
        <w:t>least</w:t>
      </w:r>
      <w:r w:rsidRPr="00603830">
        <w:rPr>
          <w:rFonts w:asciiTheme="majorHAnsi" w:hAnsiTheme="majorHAnsi"/>
          <w:spacing w:val="-12"/>
        </w:rPr>
        <w:t xml:space="preserve"> </w:t>
      </w:r>
      <w:r w:rsidRPr="00603830">
        <w:rPr>
          <w:rFonts w:asciiTheme="majorHAnsi" w:hAnsiTheme="majorHAnsi"/>
        </w:rPr>
        <w:t>the</w:t>
      </w:r>
      <w:r w:rsidRPr="00603830">
        <w:rPr>
          <w:rFonts w:asciiTheme="majorHAnsi" w:hAnsiTheme="majorHAnsi"/>
          <w:spacing w:val="-11"/>
        </w:rPr>
        <w:t xml:space="preserve"> mean and the </w:t>
      </w:r>
      <w:r w:rsidRPr="00603830">
        <w:rPr>
          <w:rFonts w:asciiTheme="majorHAnsi" w:hAnsiTheme="majorHAnsi"/>
        </w:rPr>
        <w:t>0.5%</w:t>
      </w:r>
      <w:r w:rsidRPr="00603830">
        <w:rPr>
          <w:rFonts w:asciiTheme="majorHAnsi" w:hAnsiTheme="majorHAnsi"/>
          <w:spacing w:val="-14"/>
        </w:rPr>
        <w:t xml:space="preserve"> </w:t>
      </w:r>
      <w:r w:rsidRPr="00603830">
        <w:rPr>
          <w:rFonts w:asciiTheme="majorHAnsi" w:hAnsiTheme="majorHAnsi"/>
        </w:rPr>
        <w:t>confidence level estimators, corresponding to an adverse economic result, could be provided. Typically, a set of percentiles and – if possible – scenario by scenario profit and loss data are also</w:t>
      </w:r>
      <w:r w:rsidRPr="00603830">
        <w:rPr>
          <w:rFonts w:asciiTheme="majorHAnsi" w:hAnsiTheme="majorHAnsi"/>
          <w:spacing w:val="-6"/>
        </w:rPr>
        <w:t xml:space="preserve"> </w:t>
      </w:r>
      <w:r w:rsidRPr="00603830">
        <w:rPr>
          <w:rFonts w:asciiTheme="majorHAnsi" w:hAnsiTheme="majorHAnsi"/>
        </w:rPr>
        <w:t>expected to be available.</w:t>
      </w:r>
    </w:p>
    <w:p w14:paraId="303CD545" w14:textId="77777777" w:rsidR="00603830" w:rsidRPr="00603830" w:rsidRDefault="00603830" w:rsidP="00603830">
      <w:pPr>
        <w:spacing w:before="5"/>
        <w:ind w:right="6"/>
        <w:rPr>
          <w:rFonts w:asciiTheme="majorHAnsi" w:hAnsiTheme="majorHAnsi"/>
          <w:sz w:val="20"/>
        </w:rPr>
      </w:pPr>
    </w:p>
    <w:p w14:paraId="28CE95A7" w14:textId="77777777" w:rsidR="00603830" w:rsidRPr="00603830" w:rsidRDefault="00603830" w:rsidP="00603830">
      <w:pPr>
        <w:ind w:left="113" w:right="6"/>
        <w:rPr>
          <w:rFonts w:asciiTheme="majorHAnsi" w:hAnsiTheme="majorHAnsi"/>
          <w:i/>
        </w:rPr>
      </w:pPr>
      <w:r w:rsidRPr="00603830">
        <w:rPr>
          <w:rFonts w:asciiTheme="majorHAnsi" w:hAnsiTheme="majorHAnsi"/>
          <w:i/>
        </w:rPr>
        <w:t>Benefits for the participating</w:t>
      </w:r>
      <w:r w:rsidRPr="00603830">
        <w:rPr>
          <w:rFonts w:asciiTheme="majorHAnsi" w:hAnsiTheme="majorHAnsi"/>
          <w:i/>
          <w:spacing w:val="-30"/>
        </w:rPr>
        <w:t xml:space="preserve"> </w:t>
      </w:r>
      <w:r w:rsidRPr="00603830">
        <w:rPr>
          <w:rFonts w:asciiTheme="majorHAnsi" w:hAnsiTheme="majorHAnsi"/>
          <w:i/>
        </w:rPr>
        <w:t>undertakings</w:t>
      </w:r>
    </w:p>
    <w:p w14:paraId="184FFC7D" w14:textId="77777777" w:rsidR="00603830" w:rsidRPr="00603830" w:rsidRDefault="00603830" w:rsidP="00603830">
      <w:pPr>
        <w:spacing w:before="119"/>
        <w:ind w:left="113" w:right="6"/>
        <w:rPr>
          <w:rFonts w:asciiTheme="majorHAnsi" w:hAnsiTheme="majorHAnsi"/>
        </w:rPr>
      </w:pPr>
      <w:r w:rsidRPr="00603830">
        <w:rPr>
          <w:rFonts w:asciiTheme="majorHAnsi" w:hAnsiTheme="majorHAnsi"/>
        </w:rPr>
        <w:t>The advantages for undertakings</w:t>
      </w:r>
      <w:r w:rsidRPr="00603830">
        <w:rPr>
          <w:rFonts w:asciiTheme="majorHAnsi" w:hAnsiTheme="majorHAnsi"/>
          <w:spacing w:val="-14"/>
        </w:rPr>
        <w:t xml:space="preserve"> </w:t>
      </w:r>
      <w:r w:rsidRPr="00603830">
        <w:rPr>
          <w:rFonts w:asciiTheme="majorHAnsi" w:hAnsiTheme="majorHAnsi"/>
        </w:rPr>
        <w:t>include:</w:t>
      </w:r>
    </w:p>
    <w:p w14:paraId="4F961290" w14:textId="77777777" w:rsidR="00603830" w:rsidRPr="00603830" w:rsidRDefault="00603830" w:rsidP="00603830">
      <w:pPr>
        <w:numPr>
          <w:ilvl w:val="1"/>
          <w:numId w:val="15"/>
        </w:numPr>
        <w:tabs>
          <w:tab w:val="left" w:pos="834"/>
        </w:tabs>
        <w:spacing w:before="122"/>
        <w:ind w:right="6" w:hanging="361"/>
        <w:rPr>
          <w:rFonts w:asciiTheme="majorHAnsi" w:hAnsiTheme="majorHAnsi"/>
        </w:rPr>
      </w:pPr>
      <w:r w:rsidRPr="00603830">
        <w:rPr>
          <w:rFonts w:asciiTheme="majorHAnsi" w:hAnsiTheme="majorHAnsi"/>
        </w:rPr>
        <w:t>A more level playing field via an enhanced harmonization of the</w:t>
      </w:r>
      <w:r w:rsidRPr="00603830">
        <w:rPr>
          <w:rFonts w:asciiTheme="majorHAnsi" w:hAnsiTheme="majorHAnsi"/>
          <w:spacing w:val="-15"/>
        </w:rPr>
        <w:t xml:space="preserve"> </w:t>
      </w:r>
      <w:r w:rsidRPr="00603830">
        <w:rPr>
          <w:rFonts w:asciiTheme="majorHAnsi" w:hAnsiTheme="majorHAnsi"/>
        </w:rPr>
        <w:t>supervision;</w:t>
      </w:r>
    </w:p>
    <w:p w14:paraId="4B52FF45" w14:textId="77777777" w:rsidR="00603830" w:rsidRPr="00603830" w:rsidRDefault="00603830" w:rsidP="00603830">
      <w:pPr>
        <w:numPr>
          <w:ilvl w:val="1"/>
          <w:numId w:val="12"/>
        </w:numPr>
        <w:tabs>
          <w:tab w:val="left" w:pos="834"/>
        </w:tabs>
        <w:spacing w:before="74"/>
        <w:ind w:right="6" w:hanging="361"/>
        <w:rPr>
          <w:rFonts w:asciiTheme="majorHAnsi" w:hAnsiTheme="majorHAnsi"/>
        </w:rPr>
      </w:pPr>
      <w:r w:rsidRPr="00603830">
        <w:rPr>
          <w:rFonts w:asciiTheme="majorHAnsi" w:hAnsiTheme="majorHAnsi"/>
        </w:rPr>
        <w:t>An increased acceptance of aggregation within internal models via a better understanding of the source of diversification benefits;</w:t>
      </w:r>
    </w:p>
    <w:p w14:paraId="4A17D58E" w14:textId="77777777" w:rsidR="00603830" w:rsidRPr="00603830" w:rsidRDefault="00603830" w:rsidP="00603830">
      <w:pPr>
        <w:numPr>
          <w:ilvl w:val="1"/>
          <w:numId w:val="12"/>
        </w:numPr>
        <w:tabs>
          <w:tab w:val="left" w:pos="834"/>
        </w:tabs>
        <w:spacing w:before="121"/>
        <w:ind w:right="6" w:hanging="361"/>
        <w:rPr>
          <w:rFonts w:asciiTheme="majorHAnsi" w:hAnsiTheme="majorHAnsi"/>
        </w:rPr>
      </w:pPr>
      <w:r w:rsidRPr="00603830">
        <w:rPr>
          <w:rFonts w:asciiTheme="majorHAnsi" w:hAnsiTheme="majorHAnsi"/>
        </w:rPr>
        <w:t>Potential opportunities for model</w:t>
      </w:r>
      <w:r w:rsidRPr="00603830">
        <w:rPr>
          <w:rFonts w:asciiTheme="majorHAnsi" w:hAnsiTheme="majorHAnsi"/>
          <w:spacing w:val="-2"/>
        </w:rPr>
        <w:t xml:space="preserve"> </w:t>
      </w:r>
      <w:r w:rsidRPr="00603830">
        <w:rPr>
          <w:rFonts w:asciiTheme="majorHAnsi" w:hAnsiTheme="majorHAnsi"/>
        </w:rPr>
        <w:t>improvements.</w:t>
      </w:r>
    </w:p>
    <w:p w14:paraId="0F687A1C" w14:textId="77777777" w:rsidR="00603830" w:rsidRPr="00603830" w:rsidRDefault="00603830" w:rsidP="00603830">
      <w:pPr>
        <w:spacing w:before="4"/>
        <w:ind w:right="6"/>
        <w:rPr>
          <w:rFonts w:asciiTheme="majorHAnsi" w:hAnsiTheme="majorHAnsi"/>
          <w:sz w:val="20"/>
        </w:rPr>
      </w:pPr>
    </w:p>
    <w:p w14:paraId="36214FA0" w14:textId="77777777" w:rsidR="00603830" w:rsidRPr="00603830" w:rsidRDefault="00603830" w:rsidP="00603830">
      <w:pPr>
        <w:spacing w:before="1"/>
        <w:ind w:left="113" w:right="6"/>
        <w:jc w:val="both"/>
        <w:rPr>
          <w:rFonts w:asciiTheme="majorHAnsi" w:hAnsiTheme="majorHAnsi"/>
          <w:i/>
        </w:rPr>
      </w:pPr>
      <w:r w:rsidRPr="00603830">
        <w:rPr>
          <w:rFonts w:asciiTheme="majorHAnsi" w:hAnsiTheme="majorHAnsi"/>
          <w:i/>
        </w:rPr>
        <w:t>Contact points</w:t>
      </w:r>
    </w:p>
    <w:p w14:paraId="36F88398" w14:textId="77777777" w:rsidR="00603830" w:rsidRPr="00603830" w:rsidRDefault="00603830" w:rsidP="00603830">
      <w:pPr>
        <w:spacing w:before="119"/>
        <w:ind w:left="113" w:right="6"/>
        <w:jc w:val="both"/>
        <w:rPr>
          <w:rFonts w:asciiTheme="majorHAnsi" w:hAnsiTheme="majorHAnsi"/>
        </w:rPr>
      </w:pPr>
      <w:r w:rsidRPr="00603830">
        <w:rPr>
          <w:rFonts w:asciiTheme="majorHAnsi" w:hAnsiTheme="majorHAnsi"/>
        </w:rPr>
        <w:t>In the case of individual undertakings</w:t>
      </w:r>
      <w:r w:rsidRPr="00603830" w:rsidDel="00DA4222">
        <w:rPr>
          <w:rFonts w:asciiTheme="majorHAnsi" w:hAnsiTheme="majorHAnsi"/>
        </w:rPr>
        <w:t xml:space="preserve"> </w:t>
      </w:r>
      <w:r w:rsidRPr="00603830">
        <w:rPr>
          <w:rFonts w:asciiTheme="majorHAnsi" w:hAnsiTheme="majorHAnsi"/>
        </w:rPr>
        <w:t xml:space="preserve">belonging to a group with group supervisor in the EEA, the group supervisor is the contact point for the whole group (unless specified otherwise by your supervisor). </w:t>
      </w:r>
    </w:p>
    <w:p w14:paraId="76DD2938" w14:textId="77777777" w:rsidR="00603830" w:rsidRPr="00603830" w:rsidRDefault="00603830" w:rsidP="00603830">
      <w:pPr>
        <w:spacing w:before="119"/>
        <w:ind w:left="113" w:right="6"/>
        <w:jc w:val="both"/>
        <w:rPr>
          <w:rFonts w:asciiTheme="majorHAnsi" w:hAnsiTheme="majorHAnsi"/>
        </w:rPr>
      </w:pPr>
      <w:r w:rsidRPr="00603830">
        <w:rPr>
          <w:rFonts w:asciiTheme="majorHAnsi" w:hAnsiTheme="majorHAnsi"/>
        </w:rPr>
        <w:t>In</w:t>
      </w:r>
      <w:r w:rsidRPr="00603830">
        <w:rPr>
          <w:rFonts w:asciiTheme="majorHAnsi" w:hAnsiTheme="majorHAnsi"/>
          <w:spacing w:val="-6"/>
        </w:rPr>
        <w:t xml:space="preserve"> </w:t>
      </w:r>
      <w:r w:rsidRPr="00603830">
        <w:rPr>
          <w:rFonts w:asciiTheme="majorHAnsi" w:hAnsiTheme="majorHAnsi"/>
        </w:rPr>
        <w:t>the</w:t>
      </w:r>
      <w:r w:rsidRPr="00603830">
        <w:rPr>
          <w:rFonts w:asciiTheme="majorHAnsi" w:hAnsiTheme="majorHAnsi"/>
          <w:spacing w:val="-5"/>
        </w:rPr>
        <w:t xml:space="preserve"> </w:t>
      </w:r>
      <w:r w:rsidRPr="00603830">
        <w:rPr>
          <w:rFonts w:asciiTheme="majorHAnsi" w:hAnsiTheme="majorHAnsi"/>
        </w:rPr>
        <w:t>case</w:t>
      </w:r>
      <w:r w:rsidRPr="00603830">
        <w:rPr>
          <w:rFonts w:asciiTheme="majorHAnsi" w:hAnsiTheme="majorHAnsi"/>
          <w:spacing w:val="-4"/>
        </w:rPr>
        <w:t xml:space="preserve"> </w:t>
      </w:r>
      <w:r w:rsidRPr="00603830">
        <w:rPr>
          <w:rFonts w:asciiTheme="majorHAnsi" w:hAnsiTheme="majorHAnsi"/>
        </w:rPr>
        <w:t>of</w:t>
      </w:r>
      <w:r w:rsidRPr="00603830">
        <w:rPr>
          <w:rFonts w:asciiTheme="majorHAnsi" w:hAnsiTheme="majorHAnsi"/>
          <w:spacing w:val="-5"/>
        </w:rPr>
        <w:t xml:space="preserve"> EEA </w:t>
      </w:r>
      <w:r w:rsidRPr="00603830">
        <w:rPr>
          <w:rFonts w:asciiTheme="majorHAnsi" w:hAnsiTheme="majorHAnsi"/>
        </w:rPr>
        <w:t>individual undertakings</w:t>
      </w:r>
      <w:r w:rsidRPr="00603830">
        <w:rPr>
          <w:rFonts w:asciiTheme="majorHAnsi" w:hAnsiTheme="majorHAnsi"/>
          <w:spacing w:val="-6"/>
        </w:rPr>
        <w:t xml:space="preserve"> </w:t>
      </w:r>
      <w:r w:rsidRPr="00603830">
        <w:rPr>
          <w:rFonts w:asciiTheme="majorHAnsi" w:hAnsiTheme="majorHAnsi"/>
        </w:rPr>
        <w:t>belonging</w:t>
      </w:r>
      <w:r w:rsidRPr="00603830">
        <w:rPr>
          <w:rFonts w:asciiTheme="majorHAnsi" w:hAnsiTheme="majorHAnsi"/>
          <w:spacing w:val="-6"/>
        </w:rPr>
        <w:t xml:space="preserve"> </w:t>
      </w:r>
      <w:r w:rsidRPr="00603830">
        <w:rPr>
          <w:rFonts w:asciiTheme="majorHAnsi" w:hAnsiTheme="majorHAnsi"/>
        </w:rPr>
        <w:t>to</w:t>
      </w:r>
      <w:r w:rsidRPr="00603830">
        <w:rPr>
          <w:rFonts w:asciiTheme="majorHAnsi" w:hAnsiTheme="majorHAnsi"/>
          <w:spacing w:val="-4"/>
        </w:rPr>
        <w:t xml:space="preserve"> </w:t>
      </w:r>
      <w:r w:rsidRPr="00603830">
        <w:rPr>
          <w:rFonts w:asciiTheme="majorHAnsi" w:hAnsiTheme="majorHAnsi"/>
        </w:rPr>
        <w:t>a</w:t>
      </w:r>
      <w:r w:rsidRPr="00603830">
        <w:rPr>
          <w:rFonts w:asciiTheme="majorHAnsi" w:hAnsiTheme="majorHAnsi"/>
          <w:spacing w:val="-5"/>
        </w:rPr>
        <w:t xml:space="preserve"> </w:t>
      </w:r>
      <w:r w:rsidRPr="00603830">
        <w:rPr>
          <w:rFonts w:asciiTheme="majorHAnsi" w:hAnsiTheme="majorHAnsi"/>
        </w:rPr>
        <w:t>group</w:t>
      </w:r>
      <w:r w:rsidRPr="00603830">
        <w:rPr>
          <w:rFonts w:asciiTheme="majorHAnsi" w:hAnsiTheme="majorHAnsi"/>
          <w:spacing w:val="-2"/>
        </w:rPr>
        <w:t xml:space="preserve"> </w:t>
      </w:r>
      <w:r w:rsidRPr="00603830">
        <w:rPr>
          <w:rFonts w:asciiTheme="majorHAnsi" w:hAnsiTheme="majorHAnsi"/>
        </w:rPr>
        <w:t>whose</w:t>
      </w:r>
      <w:r w:rsidRPr="00603830">
        <w:rPr>
          <w:rFonts w:asciiTheme="majorHAnsi" w:hAnsiTheme="majorHAnsi"/>
          <w:spacing w:val="-4"/>
        </w:rPr>
        <w:t xml:space="preserve"> </w:t>
      </w:r>
      <w:r w:rsidRPr="00603830">
        <w:rPr>
          <w:rFonts w:asciiTheme="majorHAnsi" w:hAnsiTheme="majorHAnsi"/>
        </w:rPr>
        <w:t>head</w:t>
      </w:r>
      <w:r w:rsidRPr="00603830">
        <w:rPr>
          <w:rFonts w:asciiTheme="majorHAnsi" w:hAnsiTheme="majorHAnsi"/>
          <w:spacing w:val="-5"/>
        </w:rPr>
        <w:t xml:space="preserve"> </w:t>
      </w:r>
      <w:r w:rsidRPr="00603830">
        <w:rPr>
          <w:rFonts w:asciiTheme="majorHAnsi" w:hAnsiTheme="majorHAnsi"/>
        </w:rPr>
        <w:t>is</w:t>
      </w:r>
      <w:r w:rsidRPr="00603830">
        <w:rPr>
          <w:rFonts w:asciiTheme="majorHAnsi" w:hAnsiTheme="majorHAnsi"/>
          <w:spacing w:val="-3"/>
        </w:rPr>
        <w:t xml:space="preserve"> </w:t>
      </w:r>
      <w:r w:rsidRPr="00603830">
        <w:rPr>
          <w:rFonts w:asciiTheme="majorHAnsi" w:hAnsiTheme="majorHAnsi"/>
        </w:rPr>
        <w:t>outside</w:t>
      </w:r>
      <w:r w:rsidRPr="00603830">
        <w:rPr>
          <w:rFonts w:asciiTheme="majorHAnsi" w:hAnsiTheme="majorHAnsi"/>
          <w:spacing w:val="-3"/>
        </w:rPr>
        <w:t xml:space="preserve"> </w:t>
      </w:r>
      <w:r w:rsidRPr="00603830">
        <w:rPr>
          <w:rFonts w:asciiTheme="majorHAnsi" w:hAnsiTheme="majorHAnsi"/>
        </w:rPr>
        <w:t>the</w:t>
      </w:r>
      <w:r w:rsidRPr="00603830">
        <w:rPr>
          <w:rFonts w:asciiTheme="majorHAnsi" w:hAnsiTheme="majorHAnsi"/>
          <w:spacing w:val="-5"/>
        </w:rPr>
        <w:t xml:space="preserve"> </w:t>
      </w:r>
      <w:r w:rsidRPr="00603830">
        <w:rPr>
          <w:rFonts w:asciiTheme="majorHAnsi" w:hAnsiTheme="majorHAnsi"/>
        </w:rPr>
        <w:t xml:space="preserve">EEA, the responses per participating solo should be provided to either the group supervisor of a potentially existing EEA subgroup or to the responsible EEA solo-supervisors. </w:t>
      </w:r>
    </w:p>
    <w:p w14:paraId="1D8342BB" w14:textId="77777777" w:rsidR="00603830" w:rsidRPr="00603830" w:rsidRDefault="00603830" w:rsidP="00603830">
      <w:pPr>
        <w:spacing w:before="123"/>
        <w:ind w:left="113" w:right="6"/>
        <w:jc w:val="both"/>
        <w:rPr>
          <w:rFonts w:asciiTheme="majorHAnsi" w:hAnsiTheme="majorHAnsi"/>
        </w:rPr>
      </w:pPr>
      <w:r w:rsidRPr="00603830">
        <w:rPr>
          <w:rFonts w:asciiTheme="majorHAnsi" w:hAnsiTheme="majorHAnsi"/>
        </w:rPr>
        <w:t>As an aside, please note that your (group) supervisor might want to augment the data request with its own additional questions or requests.</w:t>
      </w:r>
    </w:p>
    <w:p w14:paraId="4FA3BD4D" w14:textId="77777777" w:rsidR="00603830" w:rsidRPr="00603830" w:rsidRDefault="00603830" w:rsidP="00603830">
      <w:pPr>
        <w:spacing w:before="120"/>
        <w:ind w:left="113" w:right="6"/>
        <w:jc w:val="both"/>
        <w:rPr>
          <w:rFonts w:asciiTheme="majorHAnsi" w:hAnsiTheme="majorHAnsi"/>
        </w:rPr>
      </w:pPr>
      <w:r w:rsidRPr="00603830">
        <w:rPr>
          <w:rFonts w:asciiTheme="majorHAnsi" w:hAnsiTheme="majorHAnsi"/>
        </w:rPr>
        <w:t>For practical purposes, undertakings are advised to designate (at least) two contact persons, who will liaise with their (group) supervisor for the purpose of this data request.</w:t>
      </w:r>
    </w:p>
    <w:p w14:paraId="6BB3BB9B" w14:textId="77777777" w:rsidR="0050021B" w:rsidRPr="0050021B" w:rsidRDefault="0050021B" w:rsidP="00E93EAE">
      <w:pPr>
        <w:spacing w:before="8"/>
        <w:ind w:right="951"/>
        <w:rPr>
          <w:sz w:val="20"/>
        </w:rPr>
      </w:pPr>
    </w:p>
    <w:p w14:paraId="180C1A62" w14:textId="0F8034FC" w:rsidR="0050021B" w:rsidRPr="0050021B" w:rsidRDefault="0050021B" w:rsidP="00E93EAE">
      <w:pPr>
        <w:spacing w:before="4"/>
        <w:ind w:right="951"/>
        <w:rPr>
          <w:sz w:val="20"/>
        </w:rPr>
      </w:pPr>
    </w:p>
    <w:p w14:paraId="1867218B" w14:textId="4D738062" w:rsidR="00C27EAD" w:rsidRPr="00E9509A" w:rsidRDefault="00957814" w:rsidP="00E93EAE">
      <w:pPr>
        <w:pStyle w:val="Heading1"/>
        <w:numPr>
          <w:ilvl w:val="0"/>
          <w:numId w:val="13"/>
        </w:numPr>
        <w:spacing w:before="174"/>
        <w:ind w:left="567" w:right="951" w:hanging="567"/>
      </w:pPr>
      <w:bookmarkStart w:id="6" w:name="_Toc47537711"/>
      <w:bookmarkStart w:id="7" w:name="_Toc83725812"/>
      <w:r>
        <w:t>Data request</w:t>
      </w:r>
      <w:bookmarkEnd w:id="6"/>
      <w:bookmarkEnd w:id="7"/>
    </w:p>
    <w:p w14:paraId="58AC2F4B" w14:textId="1458A6BF" w:rsidR="00C27EAD" w:rsidRDefault="00957814" w:rsidP="00E93EAE">
      <w:pPr>
        <w:pStyle w:val="Heading1"/>
        <w:numPr>
          <w:ilvl w:val="1"/>
          <w:numId w:val="11"/>
        </w:numPr>
        <w:spacing w:before="174"/>
        <w:ind w:left="567" w:right="951" w:hanging="567"/>
      </w:pPr>
      <w:bookmarkStart w:id="8" w:name="_Toc47537712"/>
      <w:bookmarkStart w:id="9" w:name="_Toc83725813"/>
      <w:r>
        <w:t>Overview</w:t>
      </w:r>
      <w:bookmarkEnd w:id="8"/>
      <w:bookmarkEnd w:id="9"/>
    </w:p>
    <w:p w14:paraId="1E012E2A" w14:textId="77777777" w:rsidR="00603830" w:rsidRPr="00603830" w:rsidRDefault="00603830" w:rsidP="00603830">
      <w:pPr>
        <w:pStyle w:val="BodyText"/>
        <w:spacing w:before="181"/>
        <w:ind w:left="113" w:right="6"/>
        <w:jc w:val="both"/>
        <w:rPr>
          <w:rFonts w:asciiTheme="majorHAnsi" w:hAnsiTheme="majorHAnsi"/>
        </w:rPr>
      </w:pPr>
      <w:r w:rsidRPr="00603830">
        <w:rPr>
          <w:rFonts w:asciiTheme="majorHAnsi" w:hAnsiTheme="majorHAnsi"/>
        </w:rPr>
        <w:t>This subsection briefly outlines the data requested, and the next subsections provide more details for individual parts of the data request.</w:t>
      </w:r>
    </w:p>
    <w:p w14:paraId="2E54C2D2" w14:textId="77777777" w:rsidR="00603830" w:rsidRPr="00603830" w:rsidRDefault="00603830" w:rsidP="00603830">
      <w:pPr>
        <w:pStyle w:val="BodyText"/>
        <w:spacing w:before="71"/>
        <w:ind w:left="113" w:right="6"/>
        <w:jc w:val="both"/>
        <w:rPr>
          <w:rFonts w:asciiTheme="majorHAnsi" w:hAnsiTheme="majorHAnsi"/>
        </w:rPr>
      </w:pPr>
      <w:r w:rsidRPr="00603830">
        <w:rPr>
          <w:rFonts w:asciiTheme="majorHAnsi" w:hAnsiTheme="majorHAnsi"/>
        </w:rPr>
        <w:t>Similar to the phase 1 study, the data as at year-end 2019 (i.e. 31 December 2019) are requested from the participants, using the internal model calibrated for year-end 2019 in the reporting currency.</w:t>
      </w:r>
    </w:p>
    <w:p w14:paraId="04C2C9A9" w14:textId="77777777" w:rsidR="00603830" w:rsidRPr="00603830" w:rsidRDefault="00603830" w:rsidP="00603830">
      <w:pPr>
        <w:pStyle w:val="BodyText"/>
        <w:spacing w:before="71"/>
        <w:ind w:left="113" w:right="6"/>
        <w:jc w:val="both"/>
        <w:rPr>
          <w:rFonts w:asciiTheme="majorHAnsi" w:hAnsiTheme="majorHAnsi"/>
        </w:rPr>
      </w:pPr>
      <w:r w:rsidRPr="00603830">
        <w:rPr>
          <w:rStyle w:val="tlid-translation"/>
          <w:rFonts w:asciiTheme="majorHAnsi" w:hAnsiTheme="majorHAnsi"/>
          <w:lang w:val="en"/>
        </w:rPr>
        <w:t>Companies should use the convention that gains are denoted by positive values of the economic amounts and losses by negative values.</w:t>
      </w:r>
    </w:p>
    <w:p w14:paraId="3FBF03EE" w14:textId="77777777" w:rsidR="00603830" w:rsidRPr="00603830" w:rsidRDefault="00603830" w:rsidP="00603830">
      <w:pPr>
        <w:pStyle w:val="BodyText"/>
        <w:spacing w:before="192"/>
        <w:ind w:left="113" w:right="6"/>
        <w:jc w:val="both"/>
        <w:rPr>
          <w:rFonts w:asciiTheme="majorHAnsi" w:hAnsiTheme="majorHAnsi"/>
        </w:rPr>
      </w:pPr>
      <w:r w:rsidRPr="00603830">
        <w:rPr>
          <w:rFonts w:asciiTheme="majorHAnsi" w:hAnsiTheme="majorHAnsi"/>
        </w:rPr>
        <w:t>This data request consists of a quantitative submission in several parts included in two Excel sheets as follows:</w:t>
      </w:r>
    </w:p>
    <w:p w14:paraId="1E068965" w14:textId="77777777" w:rsidR="00603830" w:rsidRPr="00603830" w:rsidRDefault="00603830" w:rsidP="00603830">
      <w:pPr>
        <w:pStyle w:val="BodyText"/>
        <w:spacing w:before="192"/>
        <w:ind w:left="113" w:right="6"/>
        <w:jc w:val="both"/>
        <w:rPr>
          <w:rFonts w:asciiTheme="majorHAnsi" w:hAnsiTheme="majorHAnsi"/>
          <w:u w:val="single"/>
        </w:rPr>
      </w:pPr>
      <w:r w:rsidRPr="00603830">
        <w:rPr>
          <w:rFonts w:asciiTheme="majorHAnsi" w:hAnsiTheme="majorHAnsi"/>
          <w:u w:val="single"/>
        </w:rPr>
        <w:t>Technical_specification_phase2.xlsx:</w:t>
      </w:r>
    </w:p>
    <w:p w14:paraId="7BD1A98D" w14:textId="77777777" w:rsidR="00603830" w:rsidRPr="00603830" w:rsidRDefault="00603830" w:rsidP="00603830">
      <w:pPr>
        <w:pStyle w:val="ListParagraph"/>
        <w:numPr>
          <w:ilvl w:val="2"/>
          <w:numId w:val="11"/>
        </w:numPr>
        <w:tabs>
          <w:tab w:val="left" w:pos="827"/>
        </w:tabs>
        <w:spacing w:before="123"/>
        <w:ind w:right="6"/>
        <w:jc w:val="both"/>
        <w:rPr>
          <w:rFonts w:asciiTheme="majorHAnsi" w:hAnsiTheme="majorHAnsi"/>
        </w:rPr>
      </w:pPr>
      <w:r w:rsidRPr="00603830">
        <w:rPr>
          <w:rFonts w:asciiTheme="majorHAnsi" w:hAnsiTheme="majorHAnsi"/>
        </w:rPr>
        <w:t>Scenario request</w:t>
      </w:r>
    </w:p>
    <w:p w14:paraId="35627977" w14:textId="77777777" w:rsidR="00603830" w:rsidRPr="00603830" w:rsidRDefault="00603830" w:rsidP="00603830">
      <w:pPr>
        <w:tabs>
          <w:tab w:val="left" w:pos="827"/>
        </w:tabs>
        <w:spacing w:before="123"/>
        <w:ind w:left="470" w:right="6"/>
        <w:jc w:val="both"/>
        <w:rPr>
          <w:rFonts w:asciiTheme="majorHAnsi" w:hAnsiTheme="majorHAnsi"/>
        </w:rPr>
      </w:pPr>
      <w:r w:rsidRPr="00603830">
        <w:rPr>
          <w:rFonts w:asciiTheme="majorHAnsi" w:hAnsiTheme="majorHAnsi"/>
        </w:rPr>
        <w:t>In this section, the undertaking or in case relevant, the group, is expected to provide quantitative information regarding the distribution of the top- and sub-risks as defined in the internal model and the resulting SCR after aggregation. If the undertaking participates in the NLCS study or specific risks are modelled according to the Standard Formula, certain cells or columns will be grayed out and need not be filled in.</w:t>
      </w:r>
    </w:p>
    <w:p w14:paraId="1DDA8BCC" w14:textId="77777777" w:rsidR="00603830" w:rsidRPr="00603830" w:rsidRDefault="00603830" w:rsidP="00603830">
      <w:pPr>
        <w:pStyle w:val="ListParagraph"/>
        <w:numPr>
          <w:ilvl w:val="2"/>
          <w:numId w:val="11"/>
        </w:numPr>
        <w:tabs>
          <w:tab w:val="left" w:pos="810"/>
        </w:tabs>
        <w:spacing w:before="123"/>
        <w:ind w:right="6"/>
        <w:jc w:val="both"/>
        <w:rPr>
          <w:rFonts w:asciiTheme="majorHAnsi" w:hAnsiTheme="majorHAnsi"/>
        </w:rPr>
      </w:pPr>
      <w:r w:rsidRPr="00603830">
        <w:rPr>
          <w:rFonts w:asciiTheme="majorHAnsi" w:hAnsiTheme="majorHAnsi"/>
        </w:rPr>
        <w:t>Correlation matrices</w:t>
      </w:r>
    </w:p>
    <w:p w14:paraId="6431C21C" w14:textId="77777777" w:rsidR="00603830" w:rsidRPr="00603830" w:rsidRDefault="00603830" w:rsidP="00603830">
      <w:pPr>
        <w:tabs>
          <w:tab w:val="left" w:pos="827"/>
        </w:tabs>
        <w:spacing w:before="123"/>
        <w:ind w:left="470" w:right="6"/>
        <w:jc w:val="both"/>
        <w:rPr>
          <w:rFonts w:asciiTheme="majorHAnsi" w:hAnsiTheme="majorHAnsi"/>
        </w:rPr>
      </w:pPr>
      <w:r w:rsidRPr="00603830">
        <w:rPr>
          <w:rFonts w:asciiTheme="majorHAnsi" w:hAnsiTheme="majorHAnsi"/>
        </w:rPr>
        <w:t>This section contains information on the linear (i.e. Pearson) correlation matrix between risks drivers at sub-risk level. This information should be provided only by the undertakings using the VaR-CoVaR aggregation method, for the undertakings using other methods this information will be derived by the project group from the simulation data.</w:t>
      </w:r>
    </w:p>
    <w:p w14:paraId="63F0A46E" w14:textId="77777777" w:rsidR="00603830" w:rsidRPr="00603830" w:rsidRDefault="00603830" w:rsidP="00603830">
      <w:pPr>
        <w:tabs>
          <w:tab w:val="left" w:pos="827"/>
        </w:tabs>
        <w:spacing w:before="123"/>
        <w:ind w:left="470" w:right="6"/>
        <w:jc w:val="both"/>
        <w:rPr>
          <w:rFonts w:asciiTheme="majorHAnsi" w:hAnsiTheme="majorHAnsi"/>
        </w:rPr>
      </w:pPr>
      <w:r w:rsidRPr="00603830">
        <w:rPr>
          <w:rFonts w:asciiTheme="majorHAnsi" w:hAnsiTheme="majorHAnsi"/>
        </w:rPr>
        <w:t>In addition to linear correlations, our analysis will also leverage the insights obtained via concentration metrics, rank correlations, tail dependences, joint quantile exceedances, landing quantiles and empirical copula analyses in order to have a more complete view on the underlying drivers for aggregation and diversification. These measures will be calculated by the project group outside of this Excel template.</w:t>
      </w:r>
    </w:p>
    <w:p w14:paraId="21E0FE42" w14:textId="77777777" w:rsidR="00603830" w:rsidRPr="00603830" w:rsidRDefault="00603830" w:rsidP="00603830">
      <w:pPr>
        <w:pStyle w:val="ListParagraph"/>
        <w:numPr>
          <w:ilvl w:val="2"/>
          <w:numId w:val="11"/>
        </w:numPr>
        <w:tabs>
          <w:tab w:val="left" w:pos="827"/>
        </w:tabs>
        <w:spacing w:before="123"/>
        <w:ind w:right="6"/>
        <w:jc w:val="both"/>
        <w:rPr>
          <w:rFonts w:asciiTheme="majorHAnsi" w:hAnsiTheme="majorHAnsi"/>
        </w:rPr>
      </w:pPr>
      <w:r w:rsidRPr="00603830">
        <w:rPr>
          <w:rFonts w:asciiTheme="majorHAnsi" w:hAnsiTheme="majorHAnsi"/>
        </w:rPr>
        <w:t>General comments</w:t>
      </w:r>
    </w:p>
    <w:p w14:paraId="4F86EBD7" w14:textId="77777777" w:rsidR="00603830" w:rsidRPr="00603830" w:rsidRDefault="00603830" w:rsidP="00603830">
      <w:pPr>
        <w:tabs>
          <w:tab w:val="left" w:pos="827"/>
        </w:tabs>
        <w:spacing w:before="123"/>
        <w:ind w:left="470" w:right="6"/>
        <w:jc w:val="both"/>
        <w:rPr>
          <w:rFonts w:asciiTheme="majorHAnsi" w:hAnsiTheme="majorHAnsi"/>
        </w:rPr>
      </w:pPr>
      <w:r w:rsidRPr="00603830">
        <w:rPr>
          <w:rFonts w:asciiTheme="majorHAnsi" w:hAnsiTheme="majorHAnsi"/>
        </w:rPr>
        <w:t xml:space="preserve">This tab can be used to comment on aspects that should be known and taken into account, when working with the supplied data. This can e.g. include a description of the content of the column ‘Other’ or any approximations that were made. </w:t>
      </w:r>
    </w:p>
    <w:p w14:paraId="061263FC" w14:textId="77777777" w:rsidR="00603830" w:rsidRPr="00603830" w:rsidRDefault="00603830" w:rsidP="00603830">
      <w:pPr>
        <w:pStyle w:val="ListParagraph"/>
        <w:numPr>
          <w:ilvl w:val="2"/>
          <w:numId w:val="11"/>
        </w:numPr>
        <w:tabs>
          <w:tab w:val="left" w:pos="827"/>
        </w:tabs>
        <w:spacing w:before="123"/>
        <w:ind w:right="6"/>
        <w:jc w:val="both"/>
        <w:rPr>
          <w:rFonts w:asciiTheme="majorHAnsi" w:hAnsiTheme="majorHAnsi"/>
        </w:rPr>
      </w:pPr>
      <w:r w:rsidRPr="00603830">
        <w:rPr>
          <w:rFonts w:asciiTheme="majorHAnsi" w:hAnsiTheme="majorHAnsi"/>
        </w:rPr>
        <w:t>Sensitivities</w:t>
      </w:r>
    </w:p>
    <w:p w14:paraId="0A927BF6" w14:textId="77777777" w:rsidR="00603830" w:rsidRPr="00603830" w:rsidRDefault="00603830" w:rsidP="00603830">
      <w:pPr>
        <w:tabs>
          <w:tab w:val="left" w:pos="810"/>
        </w:tabs>
        <w:spacing w:before="120"/>
        <w:ind w:left="470" w:right="6"/>
        <w:jc w:val="both"/>
        <w:rPr>
          <w:rFonts w:asciiTheme="majorHAnsi" w:hAnsiTheme="majorHAnsi"/>
        </w:rPr>
      </w:pPr>
      <w:r w:rsidRPr="00603830">
        <w:rPr>
          <w:rFonts w:asciiTheme="majorHAnsi" w:hAnsiTheme="majorHAnsi"/>
        </w:rPr>
        <w:t xml:space="preserve">This tab requires the undertakings to fill in the exposure and sensitivity of their assets and liabilities to a 100 basis point up and down parallel interest rate shock. This parallel shock applies to all maturities, also after the extrapolation point. If the company is unable to provide a separate shock for assets and liabilities, only the aggregate column (C3) needs to be filled in. Note, the impact on the SCR does not need to be considered, only the impact on the balance sheet. </w:t>
      </w:r>
    </w:p>
    <w:p w14:paraId="30AA55CC" w14:textId="77777777" w:rsidR="00603830" w:rsidRPr="00603830" w:rsidRDefault="00603830" w:rsidP="00603830">
      <w:pPr>
        <w:pStyle w:val="BodyText"/>
        <w:spacing w:before="192"/>
        <w:ind w:right="6"/>
        <w:jc w:val="both"/>
        <w:rPr>
          <w:rFonts w:asciiTheme="majorHAnsi" w:hAnsiTheme="majorHAnsi"/>
          <w:u w:val="single"/>
        </w:rPr>
      </w:pPr>
      <w:r w:rsidRPr="00603830">
        <w:rPr>
          <w:rFonts w:asciiTheme="majorHAnsi" w:hAnsiTheme="majorHAnsi"/>
          <w:u w:val="single"/>
        </w:rPr>
        <w:t>Validation_template_phase2.xlsx:</w:t>
      </w:r>
    </w:p>
    <w:p w14:paraId="11AA4D40" w14:textId="77777777" w:rsidR="00603830" w:rsidRPr="00603830" w:rsidRDefault="00603830" w:rsidP="00603830">
      <w:pPr>
        <w:pStyle w:val="ListParagraph"/>
        <w:numPr>
          <w:ilvl w:val="2"/>
          <w:numId w:val="11"/>
        </w:numPr>
        <w:tabs>
          <w:tab w:val="left" w:pos="810"/>
        </w:tabs>
        <w:spacing w:before="120"/>
        <w:ind w:right="6"/>
        <w:jc w:val="both"/>
        <w:rPr>
          <w:rFonts w:asciiTheme="majorHAnsi" w:hAnsiTheme="majorHAnsi"/>
        </w:rPr>
      </w:pPr>
      <w:r w:rsidRPr="00603830">
        <w:rPr>
          <w:rFonts w:asciiTheme="majorHAnsi" w:hAnsiTheme="majorHAnsi"/>
        </w:rPr>
        <w:t xml:space="preserve"> Validation checks</w:t>
      </w:r>
    </w:p>
    <w:p w14:paraId="4D62576E" w14:textId="77777777" w:rsidR="00603830" w:rsidRPr="00603830" w:rsidRDefault="00603830" w:rsidP="00603830">
      <w:pPr>
        <w:pStyle w:val="BodyText"/>
        <w:ind w:left="113" w:right="6"/>
        <w:jc w:val="both"/>
        <w:rPr>
          <w:rFonts w:asciiTheme="majorHAnsi" w:hAnsiTheme="majorHAnsi"/>
        </w:rPr>
      </w:pPr>
    </w:p>
    <w:p w14:paraId="50C1063B" w14:textId="77777777" w:rsidR="00603830" w:rsidRPr="00603830" w:rsidRDefault="00603830" w:rsidP="00603830">
      <w:pPr>
        <w:pStyle w:val="BodyText"/>
        <w:ind w:left="113" w:right="6"/>
        <w:jc w:val="both"/>
        <w:rPr>
          <w:rFonts w:asciiTheme="majorHAnsi" w:hAnsiTheme="majorHAnsi"/>
        </w:rPr>
      </w:pPr>
      <w:r w:rsidRPr="00603830">
        <w:rPr>
          <w:rFonts w:asciiTheme="majorHAnsi" w:hAnsiTheme="majorHAnsi"/>
        </w:rPr>
        <w:t>The quantitative submission contains an extra validation file. This file can be used to confirm the coherence of the provided information of the phase 2 request with the information from the phase 1 request. The data collects the aggregated simulation data from both the phase 1 and phase 2 study, which should be consistent.</w:t>
      </w:r>
    </w:p>
    <w:p w14:paraId="1818D529" w14:textId="77777777" w:rsidR="00603830" w:rsidRPr="00603830" w:rsidRDefault="00603830" w:rsidP="00603830">
      <w:pPr>
        <w:pStyle w:val="BodyText"/>
        <w:ind w:left="113" w:right="6"/>
        <w:jc w:val="both"/>
        <w:rPr>
          <w:rFonts w:asciiTheme="majorHAnsi" w:hAnsiTheme="majorHAnsi"/>
        </w:rPr>
      </w:pPr>
    </w:p>
    <w:p w14:paraId="0BB64390" w14:textId="77777777" w:rsidR="00603830" w:rsidRPr="00603830" w:rsidRDefault="00603830" w:rsidP="00603830">
      <w:pPr>
        <w:pStyle w:val="BodyText"/>
        <w:ind w:left="113" w:right="6"/>
        <w:jc w:val="both"/>
        <w:rPr>
          <w:rFonts w:asciiTheme="majorHAnsi" w:hAnsiTheme="majorHAnsi"/>
        </w:rPr>
      </w:pPr>
      <w:r w:rsidRPr="00603830">
        <w:rPr>
          <w:rFonts w:asciiTheme="majorHAnsi" w:hAnsiTheme="majorHAnsi"/>
        </w:rPr>
        <w:t xml:space="preserve">In the phase 2 questionnaire, simulation data per sub-risks is asked (e.g. equity, property etc.) which belong to a specific top-level risk (e.g. market risk). In line 10 of the sheet ‘Scenario request’ of the quantitative template the mapping of the sub-risks is clarified as it is defined for the purpose of the diversification study. This definition is in line with the definitions in phase 1. In the sheet ‘Validation checks’ of the validation template under the heading ‘Aggregated simulation data derived from Phase 2 survey’ (column D to L) the top-level risks are defined as they </w:t>
      </w:r>
      <w:r w:rsidRPr="00603830">
        <w:rPr>
          <w:rFonts w:asciiTheme="majorHAnsi" w:hAnsiTheme="majorHAnsi"/>
        </w:rPr>
        <w:lastRenderedPageBreak/>
        <w:t>result from the phase 2 study. Here we ask the undertaking to sum over all sub-risks belonging to a specific risk on a simulation by simulation basis. Under the header ‘Aggregated simulation data from Phase 1 survey’ (column N to V), the undertaking is asked to fill in the simulation data related to the top-level risks of the phase 1 study. Under the header ‘Differences’ (column X to AF), the undertaking is asked to derive the difference between the simulations from the top-level risks resulting from phase 2 and input in phase 1. These should be consistent on a simulation by simulation basis. These differences should therefore always be zero. Furthermore, the undertakings is asked to derive the expected profit, the 0.5% percentile and the modelled Value-at-Risk based on the phase 1 and phase 2 simulation data provided in the sheet ‘Validation checks’ (line 7 to 9). Also these metric should be equal between the phase 1 and phase 2 data. If the undertaking uses a variance covariance approach to aggregate risks and no simulation is available, the same consistency is expected to hold  but not on the level of the simulation data and only on the level of the expected profit, the 0.5% percentile and the modelled Value-at-Risk.</w:t>
      </w:r>
    </w:p>
    <w:p w14:paraId="6A4AB198" w14:textId="77777777" w:rsidR="00603830" w:rsidRPr="00603830" w:rsidRDefault="00603830" w:rsidP="00603830">
      <w:pPr>
        <w:pStyle w:val="BodyText"/>
        <w:ind w:left="113" w:right="6"/>
        <w:jc w:val="both"/>
        <w:rPr>
          <w:rFonts w:asciiTheme="majorHAnsi" w:hAnsiTheme="majorHAnsi"/>
        </w:rPr>
      </w:pPr>
    </w:p>
    <w:p w14:paraId="4E8BFC98" w14:textId="77777777" w:rsidR="00603830" w:rsidRPr="00603830" w:rsidRDefault="00603830" w:rsidP="00603830">
      <w:pPr>
        <w:pStyle w:val="BodyText"/>
        <w:ind w:left="113" w:right="6"/>
        <w:jc w:val="both"/>
        <w:rPr>
          <w:rFonts w:asciiTheme="majorHAnsi" w:hAnsiTheme="majorHAnsi"/>
        </w:rPr>
      </w:pPr>
      <w:r w:rsidRPr="00603830">
        <w:rPr>
          <w:rFonts w:asciiTheme="majorHAnsi" w:hAnsiTheme="majorHAnsi"/>
        </w:rPr>
        <w:t>In the tab ‘Reconciliation’, the undertaking is asked to fill in the total modelled Value-at-Risk as calculated in Phase 1. Furthermore, the undertaking is asked to provide Standard Formula elements which were included in the phase 1 data, but are not incorporated in the phase 2 data. The difference between both these elements should equal the total modelled Value-at-Risk of the phase 2 data.</w:t>
      </w:r>
    </w:p>
    <w:p w14:paraId="6B662E08" w14:textId="77777777" w:rsidR="00603830" w:rsidRPr="00603830" w:rsidRDefault="00603830" w:rsidP="00603830">
      <w:pPr>
        <w:pStyle w:val="BodyText"/>
        <w:ind w:left="113" w:right="6"/>
        <w:jc w:val="both"/>
        <w:rPr>
          <w:rFonts w:asciiTheme="majorHAnsi" w:hAnsiTheme="majorHAnsi"/>
        </w:rPr>
      </w:pPr>
    </w:p>
    <w:p w14:paraId="4A00C871" w14:textId="77777777" w:rsidR="00603830" w:rsidRPr="00603830" w:rsidRDefault="00603830" w:rsidP="00603830">
      <w:pPr>
        <w:pStyle w:val="BodyText"/>
        <w:ind w:left="113" w:right="6"/>
        <w:jc w:val="both"/>
        <w:rPr>
          <w:rFonts w:asciiTheme="majorHAnsi" w:hAnsiTheme="majorHAnsi"/>
        </w:rPr>
      </w:pPr>
      <w:r w:rsidRPr="00603830">
        <w:rPr>
          <w:rFonts w:asciiTheme="majorHAnsi" w:hAnsiTheme="majorHAnsi"/>
        </w:rPr>
        <w:t>If either the differences defined in the ‘Validation checks’ sheet or the validation check in the ‘Reconciliation’ sheet do not pass, the undertaking is request to contact their National Supervisory Authority to ask for further clarification on how to fill in the template.</w:t>
      </w:r>
    </w:p>
    <w:p w14:paraId="62BFDE85" w14:textId="78061FDC" w:rsidR="00886DC5" w:rsidRPr="007B0765" w:rsidRDefault="00886DC5" w:rsidP="00403C6B">
      <w:pPr>
        <w:pStyle w:val="BodyText"/>
        <w:ind w:left="113" w:right="951"/>
        <w:jc w:val="both"/>
      </w:pPr>
    </w:p>
    <w:p w14:paraId="115544E3" w14:textId="449CA8A6" w:rsidR="007B0765" w:rsidRDefault="00957814" w:rsidP="00E93EAE">
      <w:pPr>
        <w:pStyle w:val="Heading1"/>
        <w:numPr>
          <w:ilvl w:val="1"/>
          <w:numId w:val="11"/>
        </w:numPr>
        <w:spacing w:before="174"/>
        <w:ind w:left="567" w:right="951" w:hanging="567"/>
      </w:pPr>
      <w:bookmarkStart w:id="10" w:name="_Toc47537713"/>
      <w:bookmarkStart w:id="11" w:name="_Toc83725814"/>
      <w:r>
        <w:t>Specification of the requested information and</w:t>
      </w:r>
      <w:r w:rsidRPr="003A7170">
        <w:t xml:space="preserve"> </w:t>
      </w:r>
      <w:r>
        <w:t>values</w:t>
      </w:r>
      <w:r w:rsidR="007B0765">
        <w:t>.</w:t>
      </w:r>
      <w:bookmarkEnd w:id="10"/>
      <w:bookmarkEnd w:id="11"/>
    </w:p>
    <w:p w14:paraId="5923049D" w14:textId="77777777" w:rsidR="00603830" w:rsidRPr="00603830" w:rsidRDefault="00603830" w:rsidP="00603830">
      <w:pPr>
        <w:pStyle w:val="BodyText"/>
        <w:spacing w:before="71"/>
        <w:ind w:left="113" w:right="6"/>
        <w:jc w:val="both"/>
        <w:rPr>
          <w:rFonts w:asciiTheme="majorHAnsi" w:hAnsiTheme="majorHAnsi"/>
        </w:rPr>
      </w:pPr>
      <w:r w:rsidRPr="00603830">
        <w:rPr>
          <w:rFonts w:asciiTheme="majorHAnsi" w:hAnsiTheme="majorHAnsi"/>
        </w:rPr>
        <w:t>Summary on some common terms used throughout the Excel.</w:t>
      </w:r>
    </w:p>
    <w:p w14:paraId="2F74E9EE" w14:textId="77777777" w:rsidR="00603830" w:rsidRPr="00603830" w:rsidRDefault="00603830" w:rsidP="00603830">
      <w:pPr>
        <w:pStyle w:val="ListParagraph"/>
        <w:numPr>
          <w:ilvl w:val="1"/>
          <w:numId w:val="12"/>
        </w:numPr>
        <w:tabs>
          <w:tab w:val="left" w:pos="834"/>
        </w:tabs>
        <w:spacing w:before="120"/>
        <w:ind w:right="6"/>
        <w:jc w:val="both"/>
        <w:rPr>
          <w:rFonts w:asciiTheme="majorHAnsi" w:hAnsiTheme="majorHAnsi"/>
        </w:rPr>
      </w:pPr>
      <w:r w:rsidRPr="00603830">
        <w:rPr>
          <w:rFonts w:asciiTheme="majorHAnsi" w:hAnsiTheme="majorHAnsi"/>
          <w:i/>
        </w:rPr>
        <w:t>Expected Result</w:t>
      </w:r>
      <w:r w:rsidRPr="00603830">
        <w:rPr>
          <w:rFonts w:asciiTheme="majorHAnsi" w:hAnsiTheme="majorHAnsi"/>
        </w:rPr>
        <w:t xml:space="preserve">: The expected result (at t=1) is expected to correspond to the mean of the profit and loss distribution </w:t>
      </w:r>
      <w:r w:rsidRPr="00603830">
        <w:rPr>
          <w:rStyle w:val="tlid-translation"/>
          <w:rFonts w:asciiTheme="majorHAnsi" w:hAnsiTheme="majorHAnsi"/>
          <w:lang w:val="en"/>
        </w:rPr>
        <w:t>before consideration of Loss Absorbing Capacity of Deferred Taxes</w:t>
      </w:r>
      <w:r w:rsidRPr="00603830">
        <w:rPr>
          <w:rFonts w:asciiTheme="majorHAnsi" w:hAnsiTheme="majorHAnsi"/>
        </w:rPr>
        <w:t>.</w:t>
      </w:r>
    </w:p>
    <w:p w14:paraId="333F22B5" w14:textId="77777777" w:rsidR="00603830" w:rsidRPr="00603830" w:rsidRDefault="00603830" w:rsidP="00603830">
      <w:pPr>
        <w:pStyle w:val="ListParagraph"/>
        <w:numPr>
          <w:ilvl w:val="1"/>
          <w:numId w:val="12"/>
        </w:numPr>
        <w:tabs>
          <w:tab w:val="left" w:pos="834"/>
        </w:tabs>
        <w:spacing w:before="120"/>
        <w:ind w:right="6"/>
        <w:jc w:val="both"/>
        <w:rPr>
          <w:rFonts w:asciiTheme="majorHAnsi" w:hAnsiTheme="majorHAnsi"/>
        </w:rPr>
      </w:pPr>
      <w:r w:rsidRPr="00603830">
        <w:rPr>
          <w:rFonts w:asciiTheme="majorHAnsi" w:hAnsiTheme="majorHAnsi"/>
          <w:i/>
        </w:rPr>
        <w:t>0.5% quantile of the distribution</w:t>
      </w:r>
      <w:r w:rsidRPr="00603830">
        <w:rPr>
          <w:rFonts w:asciiTheme="majorHAnsi" w:hAnsiTheme="majorHAnsi"/>
        </w:rPr>
        <w:t xml:space="preserve">: This value corresponds to the 0.5% quantile of the profit and loss distribution </w:t>
      </w:r>
      <w:r w:rsidRPr="00603830">
        <w:rPr>
          <w:rStyle w:val="tlid-translation"/>
          <w:rFonts w:asciiTheme="majorHAnsi" w:hAnsiTheme="majorHAnsi"/>
          <w:lang w:val="en"/>
        </w:rPr>
        <w:t>before consideration of Loss Absorbing Capacity of Deferred Taxes</w:t>
      </w:r>
      <w:r w:rsidRPr="00603830">
        <w:rPr>
          <w:rFonts w:asciiTheme="majorHAnsi" w:hAnsiTheme="majorHAnsi"/>
        </w:rPr>
        <w:t xml:space="preserve"> without the use of any smoothing or other adjustments. This will commonly translate into the result of the one specific scenario referencing this quantile. We use the convention that losses are modelled by negative profit and loss values. This low quantile thus corresponds to an adverse economic result.</w:t>
      </w:r>
    </w:p>
    <w:p w14:paraId="18234C07" w14:textId="77777777" w:rsidR="00603830" w:rsidRPr="00603830" w:rsidRDefault="00603830" w:rsidP="00603830">
      <w:pPr>
        <w:pStyle w:val="ListParagraph"/>
        <w:widowControl/>
        <w:numPr>
          <w:ilvl w:val="1"/>
          <w:numId w:val="12"/>
        </w:numPr>
        <w:tabs>
          <w:tab w:val="left" w:pos="834"/>
        </w:tabs>
        <w:autoSpaceDE/>
        <w:autoSpaceDN/>
        <w:spacing w:before="74"/>
        <w:ind w:right="6"/>
        <w:jc w:val="both"/>
        <w:rPr>
          <w:rFonts w:asciiTheme="majorHAnsi" w:hAnsiTheme="majorHAnsi"/>
        </w:rPr>
      </w:pPr>
      <w:r w:rsidRPr="00603830">
        <w:rPr>
          <w:rFonts w:asciiTheme="majorHAnsi" w:hAnsiTheme="majorHAnsi"/>
          <w:i/>
        </w:rPr>
        <w:t>Modelled Value-at-Risk (mVaR)</w:t>
      </w:r>
      <w:r w:rsidRPr="00603830">
        <w:rPr>
          <w:rFonts w:asciiTheme="majorHAnsi" w:hAnsiTheme="majorHAnsi"/>
        </w:rPr>
        <w:t>: Broadly speaking, undertakings are expected to apply their modelled ‘SCR definition’ to the total profit and loss distribution</w:t>
      </w:r>
      <w:r w:rsidRPr="00603830">
        <w:rPr>
          <w:rStyle w:val="tlid-translation"/>
          <w:rFonts w:asciiTheme="majorHAnsi" w:hAnsiTheme="majorHAnsi"/>
          <w:lang w:val="en"/>
        </w:rPr>
        <w:t xml:space="preserve"> before consideration of Loss Absorbing Capacity of Deferred Taxes</w:t>
      </w:r>
      <w:r w:rsidRPr="00603830">
        <w:rPr>
          <w:rFonts w:asciiTheme="majorHAnsi" w:hAnsiTheme="majorHAnsi"/>
        </w:rPr>
        <w:t>. Hence, the mVaR might differ from the 0.5% sample quantile on the simulated P&amp;L values, owing to the statistical estimator for the 0.5% percentile (e.g. including any interpolation or smoothing scheme). Furthermore, some undertakings might allow for a centering of the distribution by deducting the expected result.</w:t>
      </w:r>
    </w:p>
    <w:p w14:paraId="1D286CF4" w14:textId="77777777" w:rsidR="00603830" w:rsidRPr="00603830" w:rsidRDefault="00603830" w:rsidP="00603830">
      <w:pPr>
        <w:pStyle w:val="ListParagraph"/>
        <w:widowControl/>
        <w:numPr>
          <w:ilvl w:val="1"/>
          <w:numId w:val="12"/>
        </w:numPr>
        <w:tabs>
          <w:tab w:val="left" w:pos="834"/>
        </w:tabs>
        <w:autoSpaceDE/>
        <w:autoSpaceDN/>
        <w:spacing w:before="74"/>
        <w:ind w:right="6"/>
        <w:jc w:val="both"/>
        <w:rPr>
          <w:rFonts w:asciiTheme="majorHAnsi" w:hAnsiTheme="majorHAnsi"/>
        </w:rPr>
      </w:pPr>
      <w:r w:rsidRPr="00603830">
        <w:rPr>
          <w:rFonts w:asciiTheme="majorHAnsi" w:hAnsiTheme="majorHAnsi"/>
          <w:i/>
        </w:rPr>
        <w:t>Selected prescribed percentiles</w:t>
      </w:r>
      <w:r w:rsidRPr="00603830">
        <w:rPr>
          <w:rFonts w:asciiTheme="majorHAnsi" w:hAnsiTheme="majorHAnsi"/>
        </w:rPr>
        <w:t xml:space="preserve">: they should be directly taken from the simulated </w:t>
      </w:r>
      <w:r w:rsidRPr="00603830">
        <w:rPr>
          <w:rFonts w:asciiTheme="majorHAnsi" w:hAnsiTheme="majorHAnsi"/>
          <w:u w:val="single"/>
        </w:rPr>
        <w:t>profit and losses</w:t>
      </w:r>
      <w:r w:rsidRPr="00603830">
        <w:rPr>
          <w:rFonts w:asciiTheme="majorHAnsi" w:hAnsiTheme="majorHAnsi"/>
        </w:rPr>
        <w:t xml:space="preserve"> </w:t>
      </w:r>
      <w:r w:rsidRPr="00603830">
        <w:rPr>
          <w:rStyle w:val="tlid-translation"/>
          <w:rFonts w:asciiTheme="majorHAnsi" w:hAnsiTheme="majorHAnsi"/>
          <w:lang w:val="en"/>
        </w:rPr>
        <w:t>before consideration of Loss Absorbing Capacity of Deferred Taxes</w:t>
      </w:r>
      <w:r w:rsidRPr="00603830">
        <w:rPr>
          <w:rFonts w:asciiTheme="majorHAnsi" w:hAnsiTheme="majorHAnsi"/>
        </w:rPr>
        <w:t xml:space="preserve"> or by other</w:t>
      </w:r>
      <w:r w:rsidRPr="00603830">
        <w:rPr>
          <w:rFonts w:asciiTheme="majorHAnsi" w:hAnsiTheme="majorHAnsi"/>
          <w:spacing w:val="-8"/>
        </w:rPr>
        <w:t xml:space="preserve"> </w:t>
      </w:r>
      <w:r w:rsidRPr="00603830">
        <w:rPr>
          <w:rFonts w:asciiTheme="majorHAnsi" w:hAnsiTheme="majorHAnsi"/>
        </w:rPr>
        <w:t>means</w:t>
      </w:r>
      <w:r w:rsidRPr="00603830">
        <w:rPr>
          <w:rFonts w:asciiTheme="majorHAnsi" w:hAnsiTheme="majorHAnsi"/>
          <w:spacing w:val="-5"/>
        </w:rPr>
        <w:t xml:space="preserve"> </w:t>
      </w:r>
      <w:r w:rsidRPr="00603830">
        <w:rPr>
          <w:rFonts w:asciiTheme="majorHAnsi" w:hAnsiTheme="majorHAnsi"/>
        </w:rPr>
        <w:t>derived</w:t>
      </w:r>
      <w:r w:rsidRPr="00603830">
        <w:rPr>
          <w:rFonts w:asciiTheme="majorHAnsi" w:hAnsiTheme="majorHAnsi"/>
          <w:spacing w:val="-5"/>
        </w:rPr>
        <w:t xml:space="preserve"> </w:t>
      </w:r>
      <w:r w:rsidRPr="00603830">
        <w:rPr>
          <w:rFonts w:asciiTheme="majorHAnsi" w:hAnsiTheme="majorHAnsi"/>
        </w:rPr>
        <w:t>from</w:t>
      </w:r>
      <w:r w:rsidRPr="00603830">
        <w:rPr>
          <w:rFonts w:asciiTheme="majorHAnsi" w:hAnsiTheme="majorHAnsi"/>
          <w:spacing w:val="-5"/>
        </w:rPr>
        <w:t xml:space="preserve"> </w:t>
      </w:r>
      <w:r w:rsidRPr="00603830">
        <w:rPr>
          <w:rFonts w:asciiTheme="majorHAnsi" w:hAnsiTheme="majorHAnsi"/>
        </w:rPr>
        <w:t>the</w:t>
      </w:r>
      <w:r w:rsidRPr="00603830">
        <w:rPr>
          <w:rFonts w:asciiTheme="majorHAnsi" w:hAnsiTheme="majorHAnsi"/>
          <w:spacing w:val="-7"/>
        </w:rPr>
        <w:t xml:space="preserve"> </w:t>
      </w:r>
      <w:r w:rsidRPr="00603830">
        <w:rPr>
          <w:rFonts w:asciiTheme="majorHAnsi" w:hAnsiTheme="majorHAnsi"/>
        </w:rPr>
        <w:t>model,</w:t>
      </w:r>
      <w:r w:rsidRPr="00603830">
        <w:rPr>
          <w:rFonts w:asciiTheme="majorHAnsi" w:hAnsiTheme="majorHAnsi"/>
          <w:spacing w:val="-5"/>
        </w:rPr>
        <w:t xml:space="preserve"> </w:t>
      </w:r>
      <w:r w:rsidRPr="00603830">
        <w:rPr>
          <w:rFonts w:asciiTheme="majorHAnsi" w:hAnsiTheme="majorHAnsi"/>
        </w:rPr>
        <w:t>depending</w:t>
      </w:r>
      <w:r w:rsidRPr="00603830">
        <w:rPr>
          <w:rFonts w:asciiTheme="majorHAnsi" w:hAnsiTheme="majorHAnsi"/>
          <w:spacing w:val="-9"/>
        </w:rPr>
        <w:t xml:space="preserve"> </w:t>
      </w:r>
      <w:r w:rsidRPr="00603830">
        <w:rPr>
          <w:rFonts w:asciiTheme="majorHAnsi" w:hAnsiTheme="majorHAnsi"/>
        </w:rPr>
        <w:t>on</w:t>
      </w:r>
      <w:r w:rsidRPr="00603830">
        <w:rPr>
          <w:rFonts w:asciiTheme="majorHAnsi" w:hAnsiTheme="majorHAnsi"/>
          <w:spacing w:val="-7"/>
        </w:rPr>
        <w:t xml:space="preserve"> </w:t>
      </w:r>
      <w:r w:rsidRPr="00603830">
        <w:rPr>
          <w:rFonts w:asciiTheme="majorHAnsi" w:hAnsiTheme="majorHAnsi"/>
        </w:rPr>
        <w:t>the</w:t>
      </w:r>
      <w:r w:rsidRPr="00603830">
        <w:rPr>
          <w:rFonts w:asciiTheme="majorHAnsi" w:hAnsiTheme="majorHAnsi"/>
          <w:spacing w:val="-5"/>
        </w:rPr>
        <w:t xml:space="preserve"> </w:t>
      </w:r>
      <w:r w:rsidRPr="00603830">
        <w:rPr>
          <w:rFonts w:asciiTheme="majorHAnsi" w:hAnsiTheme="majorHAnsi"/>
        </w:rPr>
        <w:t>approaches.</w:t>
      </w:r>
      <w:r w:rsidRPr="00603830">
        <w:rPr>
          <w:rFonts w:asciiTheme="majorHAnsi" w:hAnsiTheme="majorHAnsi"/>
          <w:spacing w:val="-2"/>
        </w:rPr>
        <w:t xml:space="preserve"> </w:t>
      </w:r>
      <w:r w:rsidRPr="00603830">
        <w:rPr>
          <w:rFonts w:asciiTheme="majorHAnsi" w:hAnsiTheme="majorHAnsi"/>
        </w:rPr>
        <w:t>Undertakings simulating a risk</w:t>
      </w:r>
      <w:r w:rsidRPr="00603830">
        <w:rPr>
          <w:rFonts w:asciiTheme="majorHAnsi" w:hAnsiTheme="majorHAnsi"/>
          <w:spacing w:val="-5"/>
        </w:rPr>
        <w:t xml:space="preserve"> </w:t>
      </w:r>
      <w:r w:rsidRPr="00603830">
        <w:rPr>
          <w:rFonts w:asciiTheme="majorHAnsi" w:hAnsiTheme="majorHAnsi"/>
        </w:rPr>
        <w:t>are</w:t>
      </w:r>
      <w:r w:rsidRPr="00603830">
        <w:rPr>
          <w:rFonts w:asciiTheme="majorHAnsi" w:hAnsiTheme="majorHAnsi"/>
          <w:spacing w:val="-7"/>
        </w:rPr>
        <w:t xml:space="preserve"> </w:t>
      </w:r>
      <w:r w:rsidRPr="00603830">
        <w:rPr>
          <w:rFonts w:asciiTheme="majorHAnsi" w:hAnsiTheme="majorHAnsi"/>
        </w:rPr>
        <w:t>at</w:t>
      </w:r>
      <w:r w:rsidRPr="00603830">
        <w:rPr>
          <w:rFonts w:asciiTheme="majorHAnsi" w:hAnsiTheme="majorHAnsi"/>
          <w:spacing w:val="-6"/>
        </w:rPr>
        <w:t xml:space="preserve"> </w:t>
      </w:r>
      <w:r w:rsidRPr="00603830">
        <w:rPr>
          <w:rFonts w:asciiTheme="majorHAnsi" w:hAnsiTheme="majorHAnsi"/>
        </w:rPr>
        <w:t>least</w:t>
      </w:r>
      <w:r w:rsidRPr="00603830">
        <w:rPr>
          <w:rFonts w:asciiTheme="majorHAnsi" w:hAnsiTheme="majorHAnsi"/>
          <w:spacing w:val="-8"/>
        </w:rPr>
        <w:t xml:space="preserve"> </w:t>
      </w:r>
      <w:r w:rsidRPr="00603830">
        <w:rPr>
          <w:rFonts w:asciiTheme="majorHAnsi" w:hAnsiTheme="majorHAnsi"/>
        </w:rPr>
        <w:t>expected</w:t>
      </w:r>
      <w:r w:rsidRPr="00603830">
        <w:rPr>
          <w:rFonts w:asciiTheme="majorHAnsi" w:hAnsiTheme="majorHAnsi"/>
          <w:spacing w:val="-6"/>
        </w:rPr>
        <w:t xml:space="preserve"> </w:t>
      </w:r>
      <w:r w:rsidRPr="00603830">
        <w:rPr>
          <w:rFonts w:asciiTheme="majorHAnsi" w:hAnsiTheme="majorHAnsi"/>
        </w:rPr>
        <w:t>to provide the 50</w:t>
      </w:r>
      <w:r w:rsidRPr="00603830">
        <w:rPr>
          <w:rFonts w:asciiTheme="majorHAnsi" w:hAnsiTheme="majorHAnsi"/>
          <w:position w:val="5"/>
          <w:sz w:val="14"/>
        </w:rPr>
        <w:t xml:space="preserve">th </w:t>
      </w:r>
      <w:r w:rsidRPr="00603830">
        <w:rPr>
          <w:rFonts w:asciiTheme="majorHAnsi" w:hAnsiTheme="majorHAnsi"/>
        </w:rPr>
        <w:t>percentile and the 0.5</w:t>
      </w:r>
      <w:r w:rsidRPr="00603830">
        <w:rPr>
          <w:rFonts w:asciiTheme="majorHAnsi" w:hAnsiTheme="majorHAnsi"/>
          <w:position w:val="5"/>
          <w:sz w:val="14"/>
        </w:rPr>
        <w:t xml:space="preserve">th </w:t>
      </w:r>
      <w:r w:rsidRPr="00603830">
        <w:rPr>
          <w:rFonts w:asciiTheme="majorHAnsi" w:hAnsiTheme="majorHAnsi"/>
        </w:rPr>
        <w:t xml:space="preserve">percentile. </w:t>
      </w:r>
    </w:p>
    <w:p w14:paraId="32E8A043" w14:textId="77777777" w:rsidR="00603830" w:rsidRPr="00603830" w:rsidRDefault="00603830" w:rsidP="00603830">
      <w:pPr>
        <w:pStyle w:val="ListParagraph"/>
        <w:numPr>
          <w:ilvl w:val="1"/>
          <w:numId w:val="12"/>
        </w:numPr>
        <w:tabs>
          <w:tab w:val="left" w:pos="834"/>
        </w:tabs>
        <w:spacing w:before="120"/>
        <w:ind w:right="6"/>
        <w:jc w:val="both"/>
        <w:rPr>
          <w:rFonts w:asciiTheme="majorHAnsi" w:hAnsiTheme="majorHAnsi"/>
        </w:rPr>
      </w:pPr>
      <w:r w:rsidRPr="00603830">
        <w:rPr>
          <w:rFonts w:asciiTheme="majorHAnsi" w:hAnsiTheme="majorHAnsi"/>
          <w:i/>
        </w:rPr>
        <w:t>Scenario-by-scenario data</w:t>
      </w:r>
      <w:r w:rsidRPr="00603830">
        <w:rPr>
          <w:rFonts w:asciiTheme="majorHAnsi" w:hAnsiTheme="majorHAnsi"/>
        </w:rPr>
        <w:t xml:space="preserve">: directly taken from the simulated </w:t>
      </w:r>
      <w:r w:rsidRPr="00603830">
        <w:rPr>
          <w:rFonts w:asciiTheme="majorHAnsi" w:hAnsiTheme="majorHAnsi"/>
          <w:u w:val="single"/>
        </w:rPr>
        <w:t>profit and losses</w:t>
      </w:r>
      <w:r w:rsidRPr="00603830">
        <w:rPr>
          <w:rFonts w:asciiTheme="majorHAnsi" w:hAnsiTheme="majorHAnsi"/>
        </w:rPr>
        <w:t xml:space="preserve"> </w:t>
      </w:r>
      <w:r w:rsidRPr="00603830">
        <w:rPr>
          <w:rStyle w:val="tlid-translation"/>
          <w:rFonts w:asciiTheme="majorHAnsi" w:hAnsiTheme="majorHAnsi"/>
          <w:lang w:val="en"/>
        </w:rPr>
        <w:t>but before consideration of Loss Absorbing Capacity of Deferred Taxes</w:t>
      </w:r>
      <w:r w:rsidRPr="00603830">
        <w:rPr>
          <w:rFonts w:asciiTheme="majorHAnsi" w:hAnsiTheme="majorHAnsi"/>
        </w:rPr>
        <w:t xml:space="preserve"> or by other means derived from the model, depending on the</w:t>
      </w:r>
      <w:r w:rsidRPr="00603830">
        <w:rPr>
          <w:rFonts w:asciiTheme="majorHAnsi" w:hAnsiTheme="majorHAnsi"/>
          <w:spacing w:val="-2"/>
        </w:rPr>
        <w:t xml:space="preserve"> </w:t>
      </w:r>
      <w:r w:rsidRPr="00603830">
        <w:rPr>
          <w:rFonts w:asciiTheme="majorHAnsi" w:hAnsiTheme="majorHAnsi"/>
        </w:rPr>
        <w:t xml:space="preserve">approaches. The number of scenarios should be in line with the number of scenarios in the default internal model setup. This could in cases result that a different number of scenarios are used for certain risks in scope of the internal model. If this is the case, an explanation can be provided in the ‘general comment’ tab of the data request. </w:t>
      </w:r>
    </w:p>
    <w:p w14:paraId="5F170860" w14:textId="77777777" w:rsidR="00881D72" w:rsidRDefault="00881D72">
      <w:pPr>
        <w:rPr>
          <w:rFonts w:ascii="Arial" w:eastAsia="Times New Roman" w:hAnsi="Arial" w:cs="Arial"/>
          <w:bCs/>
          <w:i/>
          <w:iCs/>
          <w:sz w:val="20"/>
          <w:szCs w:val="20"/>
          <w:lang w:val="it-IT" w:eastAsia="it-IT"/>
        </w:rPr>
      </w:pPr>
      <w:r>
        <w:rPr>
          <w:rFonts w:ascii="Arial" w:eastAsia="Times New Roman" w:hAnsi="Arial" w:cs="Arial"/>
          <w:bCs/>
          <w:i/>
          <w:iCs/>
          <w:sz w:val="20"/>
          <w:szCs w:val="20"/>
          <w:lang w:val="it-IT" w:eastAsia="it-IT"/>
        </w:rPr>
        <w:br w:type="page"/>
      </w:r>
    </w:p>
    <w:p w14:paraId="07B2D61B" w14:textId="0ADF0058" w:rsidR="00504BFB" w:rsidRPr="00E312B5" w:rsidRDefault="00504BFB" w:rsidP="00E93EAE">
      <w:pPr>
        <w:tabs>
          <w:tab w:val="left" w:pos="834"/>
        </w:tabs>
        <w:spacing w:before="120"/>
        <w:ind w:right="951"/>
        <w:jc w:val="both"/>
      </w:pPr>
    </w:p>
    <w:p w14:paraId="67E7195D" w14:textId="0242A5D3" w:rsidR="003A7170" w:rsidRDefault="00957814" w:rsidP="00E93EAE">
      <w:pPr>
        <w:pStyle w:val="Heading1"/>
        <w:numPr>
          <w:ilvl w:val="1"/>
          <w:numId w:val="11"/>
        </w:numPr>
        <w:spacing w:before="174"/>
        <w:ind w:left="567" w:right="951" w:hanging="567"/>
      </w:pPr>
      <w:bookmarkStart w:id="12" w:name="_Toc47537714"/>
      <w:bookmarkStart w:id="13" w:name="_Toc83725815"/>
      <w:r>
        <w:t>More detailed specification of parts of the data</w:t>
      </w:r>
      <w:r w:rsidRPr="003A7170">
        <w:t xml:space="preserve"> </w:t>
      </w:r>
      <w:r>
        <w:t>request</w:t>
      </w:r>
      <w:bookmarkEnd w:id="12"/>
      <w:bookmarkEnd w:id="13"/>
    </w:p>
    <w:p w14:paraId="3BD3F10B" w14:textId="77777777" w:rsidR="00603830" w:rsidRPr="00603830" w:rsidRDefault="00603830" w:rsidP="00603830">
      <w:pPr>
        <w:pStyle w:val="ListParagraph"/>
        <w:numPr>
          <w:ilvl w:val="0"/>
          <w:numId w:val="35"/>
        </w:numPr>
        <w:ind w:right="6"/>
        <w:rPr>
          <w:rFonts w:asciiTheme="majorHAnsi" w:hAnsiTheme="majorHAnsi"/>
        </w:rPr>
      </w:pPr>
      <w:r w:rsidRPr="00603830">
        <w:rPr>
          <w:rFonts w:asciiTheme="majorHAnsi" w:hAnsiTheme="majorHAnsi"/>
        </w:rPr>
        <w:t>Scenario request</w:t>
      </w:r>
    </w:p>
    <w:p w14:paraId="4CD30771" w14:textId="77777777" w:rsidR="00603830" w:rsidRPr="00603830" w:rsidRDefault="00603830" w:rsidP="00603830">
      <w:pPr>
        <w:ind w:left="512" w:right="6"/>
        <w:rPr>
          <w:rFonts w:asciiTheme="majorHAnsi" w:hAnsiTheme="majorHAnsi"/>
          <w:b/>
          <w:bCs/>
        </w:rPr>
      </w:pPr>
      <w:r w:rsidRPr="00603830">
        <w:rPr>
          <w:rFonts w:asciiTheme="majorHAnsi" w:hAnsiTheme="majorHAnsi"/>
        </w:rPr>
        <w:t>This tab contains three sections:</w:t>
      </w:r>
    </w:p>
    <w:p w14:paraId="56D148B9" w14:textId="77777777" w:rsidR="00603830" w:rsidRPr="00603830" w:rsidRDefault="00603830" w:rsidP="00603830">
      <w:pPr>
        <w:pStyle w:val="ListParagraph"/>
        <w:numPr>
          <w:ilvl w:val="0"/>
          <w:numId w:val="32"/>
        </w:numPr>
        <w:ind w:right="6"/>
        <w:jc w:val="both"/>
        <w:rPr>
          <w:rStyle w:val="tlid-translation"/>
          <w:rFonts w:asciiTheme="majorHAnsi" w:hAnsiTheme="majorHAnsi"/>
          <w:bCs/>
          <w:color w:val="000000" w:themeColor="text1"/>
        </w:rPr>
      </w:pPr>
      <w:r w:rsidRPr="00603830">
        <w:rPr>
          <w:rFonts w:asciiTheme="majorHAnsi" w:hAnsiTheme="majorHAnsi"/>
        </w:rPr>
        <w:t>S</w:t>
      </w:r>
      <w:r w:rsidRPr="00603830">
        <w:rPr>
          <w:rStyle w:val="tlid-translation"/>
          <w:rFonts w:asciiTheme="majorHAnsi" w:hAnsiTheme="majorHAnsi"/>
          <w:color w:val="000000" w:themeColor="text1"/>
          <w:lang w:val="en"/>
        </w:rPr>
        <w:t>ynthetic data derived from the probability distribution of each risks.</w:t>
      </w:r>
    </w:p>
    <w:p w14:paraId="35DFD6C5" w14:textId="77777777" w:rsidR="00603830" w:rsidRPr="00603830" w:rsidRDefault="00603830" w:rsidP="00603830">
      <w:pPr>
        <w:pStyle w:val="ListParagraph"/>
        <w:numPr>
          <w:ilvl w:val="0"/>
          <w:numId w:val="32"/>
        </w:numPr>
        <w:ind w:right="6"/>
        <w:jc w:val="both"/>
        <w:rPr>
          <w:rStyle w:val="tlid-translation"/>
          <w:rFonts w:asciiTheme="majorHAnsi" w:hAnsiTheme="majorHAnsi"/>
          <w:bCs/>
          <w:color w:val="000000" w:themeColor="text1"/>
        </w:rPr>
      </w:pPr>
      <w:r w:rsidRPr="00603830">
        <w:rPr>
          <w:rFonts w:asciiTheme="majorHAnsi" w:hAnsiTheme="majorHAnsi"/>
        </w:rPr>
        <w:t>V</w:t>
      </w:r>
      <w:r w:rsidRPr="00603830">
        <w:rPr>
          <w:rStyle w:val="tlid-translation"/>
          <w:rFonts w:asciiTheme="majorHAnsi" w:hAnsiTheme="majorHAnsi"/>
          <w:color w:val="000000" w:themeColor="text1"/>
          <w:lang w:val="en"/>
        </w:rPr>
        <w:t>alue of the probability distributions of the profits and losses at a predefined set of percentiles associated with the requested risks in scope of the Internal Model</w:t>
      </w:r>
    </w:p>
    <w:p w14:paraId="673F1D2E" w14:textId="77777777" w:rsidR="00603830" w:rsidRPr="00603830" w:rsidRDefault="00603830" w:rsidP="00603830">
      <w:pPr>
        <w:pStyle w:val="ListParagraph"/>
        <w:numPr>
          <w:ilvl w:val="0"/>
          <w:numId w:val="32"/>
        </w:numPr>
        <w:ind w:right="6"/>
        <w:jc w:val="both"/>
        <w:rPr>
          <w:rStyle w:val="tlid-translation"/>
          <w:rFonts w:asciiTheme="majorHAnsi" w:hAnsiTheme="majorHAnsi"/>
          <w:bCs/>
          <w:color w:val="000000" w:themeColor="text1"/>
        </w:rPr>
      </w:pPr>
      <w:r w:rsidRPr="00603830">
        <w:rPr>
          <w:rStyle w:val="tlid-translation"/>
          <w:rFonts w:asciiTheme="majorHAnsi" w:hAnsiTheme="majorHAnsi"/>
          <w:color w:val="000000" w:themeColor="text1"/>
          <w:lang w:val="en"/>
        </w:rPr>
        <w:t>Related scenarios of profits and losses associated with the requested risks in scope of the Internal Model</w:t>
      </w:r>
    </w:p>
    <w:p w14:paraId="7B4F50D6" w14:textId="77777777" w:rsidR="00603830" w:rsidRPr="00603830" w:rsidRDefault="00603830" w:rsidP="00603830">
      <w:pPr>
        <w:ind w:right="6"/>
        <w:jc w:val="both"/>
        <w:rPr>
          <w:rStyle w:val="tlid-translation"/>
          <w:rFonts w:asciiTheme="majorHAnsi" w:hAnsiTheme="majorHAnsi"/>
          <w:bCs/>
          <w:color w:val="000000" w:themeColor="text1"/>
        </w:rPr>
      </w:pPr>
    </w:p>
    <w:p w14:paraId="2CDD2DDC" w14:textId="77777777" w:rsidR="00603830" w:rsidRPr="00603830" w:rsidRDefault="00603830" w:rsidP="00603830">
      <w:pPr>
        <w:ind w:right="6"/>
        <w:jc w:val="both"/>
        <w:rPr>
          <w:rStyle w:val="tlid-translation"/>
          <w:rFonts w:asciiTheme="majorHAnsi" w:hAnsiTheme="majorHAnsi"/>
          <w:bCs/>
          <w:color w:val="000000" w:themeColor="text1"/>
        </w:rPr>
      </w:pPr>
      <w:r w:rsidRPr="00603830">
        <w:rPr>
          <w:rStyle w:val="tlid-translation"/>
          <w:rFonts w:asciiTheme="majorHAnsi" w:hAnsiTheme="majorHAnsi"/>
          <w:bCs/>
          <w:color w:val="000000" w:themeColor="text1"/>
        </w:rPr>
        <w:t xml:space="preserve">In the graph below a high-level overview of the requested risks can be found.  </w:t>
      </w:r>
    </w:p>
    <w:p w14:paraId="3C351E2C" w14:textId="77777777" w:rsidR="00603830" w:rsidRPr="00603830" w:rsidRDefault="00603830" w:rsidP="00603830">
      <w:pPr>
        <w:ind w:right="6"/>
        <w:jc w:val="both"/>
        <w:rPr>
          <w:rStyle w:val="tlid-translation"/>
          <w:rFonts w:asciiTheme="majorHAnsi" w:hAnsiTheme="majorHAnsi"/>
          <w:bCs/>
          <w:color w:val="000000" w:themeColor="text1"/>
        </w:rPr>
      </w:pPr>
      <w:r w:rsidRPr="00603830">
        <w:rPr>
          <w:rStyle w:val="tlid-translation"/>
          <w:rFonts w:asciiTheme="majorHAnsi" w:hAnsiTheme="majorHAnsi"/>
          <w:noProof/>
          <w:lang w:eastAsia="en-GB"/>
        </w:rPr>
        <w:drawing>
          <wp:inline distT="0" distB="0" distL="0" distR="0" wp14:anchorId="490ED3F0" wp14:editId="58E57062">
            <wp:extent cx="6724650" cy="2471597"/>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24650" cy="2471597"/>
                    </a:xfrm>
                    <a:prstGeom prst="rect">
                      <a:avLst/>
                    </a:prstGeom>
                    <a:noFill/>
                    <a:ln>
                      <a:noFill/>
                    </a:ln>
                  </pic:spPr>
                </pic:pic>
              </a:graphicData>
            </a:graphic>
          </wp:inline>
        </w:drawing>
      </w:r>
    </w:p>
    <w:p w14:paraId="5CD3623D" w14:textId="77777777" w:rsidR="00603830" w:rsidRPr="00603830" w:rsidRDefault="00603830" w:rsidP="00603830">
      <w:pPr>
        <w:ind w:right="6"/>
        <w:jc w:val="both"/>
        <w:rPr>
          <w:rStyle w:val="tlid-translation"/>
          <w:rFonts w:asciiTheme="majorHAnsi" w:hAnsiTheme="majorHAnsi"/>
          <w:bCs/>
          <w:color w:val="000000" w:themeColor="text1"/>
        </w:rPr>
      </w:pPr>
    </w:p>
    <w:p w14:paraId="346C9959" w14:textId="77777777" w:rsidR="00603830" w:rsidRPr="00603830" w:rsidRDefault="00603830" w:rsidP="00603830">
      <w:pPr>
        <w:ind w:right="6"/>
        <w:jc w:val="both"/>
        <w:rPr>
          <w:rStyle w:val="tlid-translation"/>
          <w:rFonts w:asciiTheme="majorHAnsi" w:hAnsiTheme="majorHAnsi"/>
          <w:bCs/>
          <w:color w:val="000000" w:themeColor="text1"/>
        </w:rPr>
      </w:pPr>
    </w:p>
    <w:p w14:paraId="4543C758" w14:textId="77777777" w:rsidR="00603830" w:rsidRPr="00603830" w:rsidRDefault="00603830" w:rsidP="00603830">
      <w:pPr>
        <w:ind w:right="6"/>
        <w:jc w:val="both"/>
        <w:rPr>
          <w:rFonts w:asciiTheme="majorHAnsi" w:hAnsiTheme="majorHAnsi"/>
          <w:b/>
          <w:bCs/>
        </w:rPr>
      </w:pPr>
      <w:r w:rsidRPr="00603830">
        <w:rPr>
          <w:rFonts w:asciiTheme="majorHAnsi" w:hAnsiTheme="majorHAnsi"/>
        </w:rPr>
        <w:t>The requested risks have the following definition:</w:t>
      </w:r>
    </w:p>
    <w:tbl>
      <w:tblPr>
        <w:tblW w:w="5000" w:type="pct"/>
        <w:tblLayout w:type="fixed"/>
        <w:tblLook w:val="04A0" w:firstRow="1" w:lastRow="0" w:firstColumn="1" w:lastColumn="0" w:noHBand="0" w:noVBand="1"/>
      </w:tblPr>
      <w:tblGrid>
        <w:gridCol w:w="2262"/>
        <w:gridCol w:w="2129"/>
        <w:gridCol w:w="6189"/>
      </w:tblGrid>
      <w:tr w:rsidR="00603830" w:rsidRPr="00603830" w14:paraId="0CB56153" w14:textId="77777777" w:rsidTr="00264C0B">
        <w:trPr>
          <w:trHeight w:val="576"/>
        </w:trPr>
        <w:tc>
          <w:tcPr>
            <w:tcW w:w="10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4356E8" w14:textId="77777777" w:rsidR="00603830" w:rsidRPr="00603830" w:rsidRDefault="00603830" w:rsidP="00264C0B">
            <w:pPr>
              <w:ind w:right="6"/>
              <w:jc w:val="center"/>
              <w:rPr>
                <w:rFonts w:asciiTheme="majorHAnsi" w:eastAsia="Times New Roman" w:hAnsiTheme="majorHAnsi" w:cs="Calibri"/>
                <w:b/>
                <w:bCs/>
                <w:color w:val="000000"/>
                <w:lang w:eastAsia="en-GB"/>
              </w:rPr>
            </w:pPr>
            <w:r w:rsidRPr="00603830">
              <w:rPr>
                <w:rFonts w:asciiTheme="majorHAnsi" w:eastAsia="Times New Roman" w:hAnsiTheme="majorHAnsi" w:cs="Calibri"/>
                <w:b/>
                <w:bCs/>
                <w:color w:val="000000"/>
                <w:lang w:eastAsia="en-GB"/>
              </w:rPr>
              <w:t>Standardised</w:t>
            </w:r>
            <w:r w:rsidRPr="00603830">
              <w:rPr>
                <w:rFonts w:asciiTheme="majorHAnsi" w:eastAsia="Times New Roman" w:hAnsiTheme="majorHAnsi" w:cs="Calibri"/>
                <w:b/>
                <w:bCs/>
                <w:color w:val="000000"/>
                <w:lang w:eastAsia="en-GB"/>
              </w:rPr>
              <w:br/>
              <w:t>Cross-Terms</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14:paraId="3669D740" w14:textId="77777777" w:rsidR="00603830" w:rsidRPr="00603830" w:rsidRDefault="00603830" w:rsidP="00264C0B">
            <w:pPr>
              <w:ind w:right="6"/>
              <w:jc w:val="center"/>
              <w:rPr>
                <w:rFonts w:asciiTheme="majorHAnsi" w:eastAsia="Times New Roman" w:hAnsiTheme="majorHAnsi" w:cs="Calibri"/>
                <w:b/>
                <w:bCs/>
                <w:color w:val="000000"/>
                <w:lang w:eastAsia="en-GB"/>
              </w:rPr>
            </w:pPr>
            <w:r w:rsidRPr="00603830">
              <w:rPr>
                <w:rFonts w:asciiTheme="majorHAnsi" w:eastAsia="Times New Roman" w:hAnsiTheme="majorHAnsi" w:cs="Calibri"/>
                <w:b/>
                <w:bCs/>
                <w:color w:val="000000"/>
                <w:lang w:eastAsia="en-GB"/>
              </w:rPr>
              <w:t>Cross terms</w:t>
            </w:r>
          </w:p>
        </w:tc>
        <w:tc>
          <w:tcPr>
            <w:tcW w:w="2925" w:type="pct"/>
            <w:tcBorders>
              <w:top w:val="single" w:sz="4" w:space="0" w:color="auto"/>
              <w:left w:val="nil"/>
              <w:bottom w:val="single" w:sz="4" w:space="0" w:color="auto"/>
              <w:right w:val="single" w:sz="4" w:space="0" w:color="auto"/>
            </w:tcBorders>
            <w:shd w:val="clear" w:color="auto" w:fill="auto"/>
            <w:vAlign w:val="center"/>
            <w:hideMark/>
          </w:tcPr>
          <w:p w14:paraId="15738B58" w14:textId="77777777" w:rsidR="00603830" w:rsidRPr="00603830" w:rsidRDefault="00603830" w:rsidP="00264C0B">
            <w:pPr>
              <w:ind w:right="6"/>
              <w:rPr>
                <w:rFonts w:asciiTheme="majorHAnsi" w:eastAsia="Times New Roman" w:hAnsiTheme="majorHAnsi" w:cs="Calibri"/>
                <w:color w:val="000000"/>
                <w:lang w:eastAsia="en-GB"/>
              </w:rPr>
            </w:pPr>
            <w:r w:rsidRPr="00603830">
              <w:rPr>
                <w:rFonts w:asciiTheme="majorHAnsi" w:hAnsiTheme="majorHAnsi" w:cstheme="minorHAnsi"/>
              </w:rPr>
              <w:t>Describes functional dependencies as opposed to stochastic dependencies between two or more risk categories, e.g. longevity and interest rate. Stochastic dependencies arise due to correlation, i.e. the probability that events occur simultaneously, whereas functional dependencies determine the impact if events occur simultaneously. Both impact the diversification effect. The multiple usage of buffers is an example of a cross effect. In a modular model, these are often considered by an additional modelling step, which can lead to a (positive as well as negative) correction of the risk capital calculated so far.</w:t>
            </w:r>
          </w:p>
        </w:tc>
      </w:tr>
      <w:tr w:rsidR="00603830" w:rsidRPr="00603830" w14:paraId="4ED8ED4F" w14:textId="77777777" w:rsidTr="00264C0B">
        <w:trPr>
          <w:trHeight w:val="864"/>
        </w:trPr>
        <w:tc>
          <w:tcPr>
            <w:tcW w:w="1069" w:type="pct"/>
            <w:vMerge w:val="restart"/>
            <w:tcBorders>
              <w:top w:val="nil"/>
              <w:left w:val="single" w:sz="4" w:space="0" w:color="auto"/>
              <w:bottom w:val="single" w:sz="4" w:space="0" w:color="auto"/>
              <w:right w:val="single" w:sz="4" w:space="0" w:color="auto"/>
            </w:tcBorders>
            <w:shd w:val="clear" w:color="auto" w:fill="auto"/>
            <w:vAlign w:val="center"/>
            <w:hideMark/>
          </w:tcPr>
          <w:p w14:paraId="25636307" w14:textId="77777777" w:rsidR="00603830" w:rsidRPr="00603830" w:rsidRDefault="00603830" w:rsidP="00264C0B">
            <w:pPr>
              <w:ind w:right="6"/>
              <w:jc w:val="center"/>
              <w:rPr>
                <w:rFonts w:asciiTheme="majorHAnsi" w:eastAsia="Times New Roman" w:hAnsiTheme="majorHAnsi" w:cs="Calibri"/>
                <w:b/>
                <w:bCs/>
                <w:color w:val="000000"/>
                <w:lang w:eastAsia="en-GB"/>
              </w:rPr>
            </w:pPr>
            <w:r w:rsidRPr="00603830">
              <w:rPr>
                <w:rFonts w:asciiTheme="majorHAnsi" w:eastAsia="Times New Roman" w:hAnsiTheme="majorHAnsi" w:cs="Calibri"/>
                <w:b/>
                <w:bCs/>
                <w:color w:val="000000"/>
                <w:lang w:eastAsia="en-GB"/>
              </w:rPr>
              <w:t>Standardised</w:t>
            </w:r>
            <w:r w:rsidRPr="00603830">
              <w:rPr>
                <w:rFonts w:asciiTheme="majorHAnsi" w:eastAsia="Times New Roman" w:hAnsiTheme="majorHAnsi" w:cs="Calibri"/>
                <w:b/>
                <w:bCs/>
                <w:color w:val="000000"/>
                <w:lang w:eastAsia="en-GB"/>
              </w:rPr>
              <w:br/>
              <w:t>Market Risk</w:t>
            </w:r>
          </w:p>
        </w:tc>
        <w:tc>
          <w:tcPr>
            <w:tcW w:w="1006" w:type="pct"/>
            <w:tcBorders>
              <w:top w:val="nil"/>
              <w:left w:val="nil"/>
              <w:bottom w:val="single" w:sz="4" w:space="0" w:color="auto"/>
              <w:right w:val="single" w:sz="4" w:space="0" w:color="auto"/>
            </w:tcBorders>
            <w:shd w:val="clear" w:color="auto" w:fill="auto"/>
            <w:vAlign w:val="center"/>
            <w:hideMark/>
          </w:tcPr>
          <w:p w14:paraId="70DACE05" w14:textId="77777777" w:rsidR="00603830" w:rsidRPr="00603830" w:rsidRDefault="00603830" w:rsidP="00264C0B">
            <w:pPr>
              <w:ind w:right="6"/>
              <w:jc w:val="center"/>
              <w:rPr>
                <w:rFonts w:asciiTheme="majorHAnsi" w:eastAsia="Times New Roman" w:hAnsiTheme="majorHAnsi" w:cs="Calibri"/>
                <w:b/>
                <w:bCs/>
                <w:color w:val="000000"/>
                <w:lang w:eastAsia="en-GB"/>
              </w:rPr>
            </w:pPr>
            <w:r w:rsidRPr="00603830">
              <w:rPr>
                <w:rFonts w:asciiTheme="majorHAnsi" w:eastAsia="Times New Roman" w:hAnsiTheme="majorHAnsi" w:cs="Calibri"/>
                <w:b/>
                <w:bCs/>
                <w:color w:val="000000"/>
                <w:lang w:eastAsia="en-GB"/>
              </w:rPr>
              <w:t>Interest Rate Risk</w:t>
            </w:r>
          </w:p>
        </w:tc>
        <w:tc>
          <w:tcPr>
            <w:tcW w:w="2925" w:type="pct"/>
            <w:tcBorders>
              <w:top w:val="nil"/>
              <w:left w:val="nil"/>
              <w:bottom w:val="single" w:sz="4" w:space="0" w:color="auto"/>
              <w:right w:val="single" w:sz="4" w:space="0" w:color="auto"/>
            </w:tcBorders>
            <w:shd w:val="clear" w:color="auto" w:fill="auto"/>
            <w:vAlign w:val="bottom"/>
            <w:hideMark/>
          </w:tcPr>
          <w:p w14:paraId="151E84CA" w14:textId="77777777" w:rsidR="00603830" w:rsidRPr="00603830" w:rsidRDefault="00603830" w:rsidP="00264C0B">
            <w:pPr>
              <w:ind w:right="6"/>
              <w:rPr>
                <w:rFonts w:asciiTheme="majorHAnsi" w:eastAsia="Times New Roman" w:hAnsiTheme="majorHAnsi" w:cs="Calibri"/>
                <w:color w:val="000000"/>
                <w:lang w:eastAsia="en-GB"/>
              </w:rPr>
            </w:pPr>
            <w:r w:rsidRPr="00603830">
              <w:rPr>
                <w:rFonts w:asciiTheme="majorHAnsi" w:eastAsia="Times New Roman" w:hAnsiTheme="majorHAnsi" w:cs="Calibri"/>
                <w:color w:val="000000"/>
                <w:lang w:eastAsia="en-GB"/>
              </w:rPr>
              <w:t xml:space="preserve">This risk comprises the sensitivity of the values of assets, liabilities and financial instruments to changes in the term structure of interest rates, but neither changes in the implied volatility of interest rates nor any facets of Credit risk. </w:t>
            </w:r>
          </w:p>
        </w:tc>
      </w:tr>
      <w:tr w:rsidR="00603830" w:rsidRPr="00603830" w14:paraId="18021E78" w14:textId="77777777" w:rsidTr="00264C0B">
        <w:trPr>
          <w:trHeight w:val="576"/>
        </w:trPr>
        <w:tc>
          <w:tcPr>
            <w:tcW w:w="1069" w:type="pct"/>
            <w:vMerge/>
            <w:tcBorders>
              <w:top w:val="nil"/>
              <w:left w:val="single" w:sz="4" w:space="0" w:color="auto"/>
              <w:bottom w:val="single" w:sz="4" w:space="0" w:color="auto"/>
              <w:right w:val="single" w:sz="4" w:space="0" w:color="auto"/>
            </w:tcBorders>
            <w:vAlign w:val="center"/>
            <w:hideMark/>
          </w:tcPr>
          <w:p w14:paraId="7314C4D1" w14:textId="77777777" w:rsidR="00603830" w:rsidRPr="00603830" w:rsidRDefault="00603830" w:rsidP="00264C0B">
            <w:pPr>
              <w:ind w:right="6"/>
              <w:rPr>
                <w:rFonts w:asciiTheme="majorHAnsi" w:eastAsia="Times New Roman" w:hAnsiTheme="majorHAnsi" w:cs="Calibri"/>
                <w:b/>
                <w:bCs/>
                <w:color w:val="000000"/>
                <w:lang w:eastAsia="en-GB"/>
              </w:rPr>
            </w:pPr>
          </w:p>
        </w:tc>
        <w:tc>
          <w:tcPr>
            <w:tcW w:w="1006" w:type="pct"/>
            <w:tcBorders>
              <w:top w:val="nil"/>
              <w:left w:val="nil"/>
              <w:bottom w:val="single" w:sz="4" w:space="0" w:color="auto"/>
              <w:right w:val="single" w:sz="4" w:space="0" w:color="auto"/>
            </w:tcBorders>
            <w:shd w:val="clear" w:color="auto" w:fill="auto"/>
            <w:vAlign w:val="center"/>
            <w:hideMark/>
          </w:tcPr>
          <w:p w14:paraId="7ECF6CF3" w14:textId="77777777" w:rsidR="00603830" w:rsidRPr="00603830" w:rsidRDefault="00603830" w:rsidP="00264C0B">
            <w:pPr>
              <w:ind w:right="6"/>
              <w:jc w:val="center"/>
              <w:rPr>
                <w:rFonts w:asciiTheme="majorHAnsi" w:eastAsia="Times New Roman" w:hAnsiTheme="majorHAnsi" w:cs="Calibri"/>
                <w:b/>
                <w:bCs/>
                <w:color w:val="000000"/>
                <w:lang w:eastAsia="en-GB"/>
              </w:rPr>
            </w:pPr>
            <w:r w:rsidRPr="00603830">
              <w:rPr>
                <w:rFonts w:asciiTheme="majorHAnsi" w:eastAsia="Times New Roman" w:hAnsiTheme="majorHAnsi" w:cs="Calibri"/>
                <w:b/>
                <w:bCs/>
                <w:color w:val="000000"/>
                <w:lang w:eastAsia="en-GB"/>
              </w:rPr>
              <w:t>Interest rate Implied Volatility risk</w:t>
            </w:r>
          </w:p>
        </w:tc>
        <w:tc>
          <w:tcPr>
            <w:tcW w:w="2925" w:type="pct"/>
            <w:tcBorders>
              <w:top w:val="nil"/>
              <w:left w:val="nil"/>
              <w:bottom w:val="single" w:sz="4" w:space="0" w:color="auto"/>
              <w:right w:val="single" w:sz="4" w:space="0" w:color="auto"/>
            </w:tcBorders>
            <w:shd w:val="clear" w:color="auto" w:fill="auto"/>
            <w:vAlign w:val="bottom"/>
            <w:hideMark/>
          </w:tcPr>
          <w:p w14:paraId="76939D2F" w14:textId="77777777" w:rsidR="00603830" w:rsidRPr="00603830" w:rsidRDefault="00603830" w:rsidP="00264C0B">
            <w:pPr>
              <w:ind w:right="6"/>
              <w:rPr>
                <w:rFonts w:asciiTheme="majorHAnsi" w:eastAsia="Times New Roman" w:hAnsiTheme="majorHAnsi" w:cs="Calibri"/>
                <w:color w:val="000000"/>
                <w:lang w:eastAsia="en-GB"/>
              </w:rPr>
            </w:pPr>
            <w:r w:rsidRPr="00603830">
              <w:rPr>
                <w:rFonts w:asciiTheme="majorHAnsi" w:eastAsia="Times New Roman" w:hAnsiTheme="majorHAnsi" w:cs="Calibri"/>
                <w:color w:val="000000"/>
                <w:lang w:eastAsia="en-GB"/>
              </w:rPr>
              <w:t>This risk comprises the sensitivity of the values of assets, liabilities and financial instruments to changes in the implied volatility of interest rates but no facets of Credit risk.</w:t>
            </w:r>
          </w:p>
        </w:tc>
      </w:tr>
      <w:tr w:rsidR="00603830" w:rsidRPr="00603830" w14:paraId="6D4E280C" w14:textId="77777777" w:rsidTr="00264C0B">
        <w:trPr>
          <w:trHeight w:val="1152"/>
        </w:trPr>
        <w:tc>
          <w:tcPr>
            <w:tcW w:w="1069" w:type="pct"/>
            <w:vMerge/>
            <w:tcBorders>
              <w:top w:val="nil"/>
              <w:left w:val="single" w:sz="4" w:space="0" w:color="auto"/>
              <w:bottom w:val="single" w:sz="4" w:space="0" w:color="auto"/>
              <w:right w:val="single" w:sz="4" w:space="0" w:color="auto"/>
            </w:tcBorders>
            <w:vAlign w:val="center"/>
            <w:hideMark/>
          </w:tcPr>
          <w:p w14:paraId="2457A7F4" w14:textId="77777777" w:rsidR="00603830" w:rsidRPr="00603830" w:rsidRDefault="00603830" w:rsidP="00264C0B">
            <w:pPr>
              <w:ind w:right="6"/>
              <w:rPr>
                <w:rFonts w:asciiTheme="majorHAnsi" w:eastAsia="Times New Roman" w:hAnsiTheme="majorHAnsi" w:cs="Calibri"/>
                <w:b/>
                <w:bCs/>
                <w:color w:val="000000"/>
                <w:lang w:eastAsia="en-GB"/>
              </w:rPr>
            </w:pPr>
          </w:p>
        </w:tc>
        <w:tc>
          <w:tcPr>
            <w:tcW w:w="1006" w:type="pct"/>
            <w:tcBorders>
              <w:top w:val="nil"/>
              <w:left w:val="nil"/>
              <w:bottom w:val="single" w:sz="4" w:space="0" w:color="auto"/>
              <w:right w:val="single" w:sz="4" w:space="0" w:color="auto"/>
            </w:tcBorders>
            <w:shd w:val="clear" w:color="auto" w:fill="auto"/>
            <w:vAlign w:val="center"/>
            <w:hideMark/>
          </w:tcPr>
          <w:p w14:paraId="51D3049F" w14:textId="77777777" w:rsidR="00603830" w:rsidRPr="00603830" w:rsidRDefault="00603830" w:rsidP="00264C0B">
            <w:pPr>
              <w:ind w:right="6"/>
              <w:jc w:val="center"/>
              <w:rPr>
                <w:rFonts w:asciiTheme="majorHAnsi" w:eastAsia="Times New Roman" w:hAnsiTheme="majorHAnsi" w:cs="Calibri"/>
                <w:b/>
                <w:bCs/>
                <w:color w:val="000000"/>
                <w:lang w:eastAsia="en-GB"/>
              </w:rPr>
            </w:pPr>
            <w:r w:rsidRPr="00603830">
              <w:rPr>
                <w:rFonts w:asciiTheme="majorHAnsi" w:eastAsia="Times New Roman" w:hAnsiTheme="majorHAnsi" w:cs="Calibri"/>
                <w:b/>
                <w:bCs/>
                <w:color w:val="000000"/>
                <w:lang w:eastAsia="en-GB"/>
              </w:rPr>
              <w:t>Inflation risk</w:t>
            </w:r>
            <w:r w:rsidRPr="00603830">
              <w:rPr>
                <w:rFonts w:asciiTheme="majorHAnsi" w:eastAsia="Times New Roman" w:hAnsiTheme="majorHAnsi" w:cs="Calibri"/>
                <w:b/>
                <w:bCs/>
                <w:color w:val="000000"/>
                <w:lang w:eastAsia="en-GB"/>
              </w:rPr>
              <w:br/>
              <w:t>(related to assets and financial investments)</w:t>
            </w:r>
          </w:p>
        </w:tc>
        <w:tc>
          <w:tcPr>
            <w:tcW w:w="2925" w:type="pct"/>
            <w:tcBorders>
              <w:top w:val="nil"/>
              <w:left w:val="nil"/>
              <w:bottom w:val="single" w:sz="4" w:space="0" w:color="auto"/>
              <w:right w:val="single" w:sz="4" w:space="0" w:color="auto"/>
            </w:tcBorders>
            <w:shd w:val="clear" w:color="auto" w:fill="auto"/>
            <w:vAlign w:val="bottom"/>
            <w:hideMark/>
          </w:tcPr>
          <w:p w14:paraId="27651E75" w14:textId="77777777" w:rsidR="00603830" w:rsidRPr="00603830" w:rsidRDefault="00603830" w:rsidP="00264C0B">
            <w:pPr>
              <w:ind w:right="6"/>
              <w:rPr>
                <w:rFonts w:asciiTheme="majorHAnsi" w:eastAsia="Times New Roman" w:hAnsiTheme="majorHAnsi" w:cs="Calibri"/>
                <w:color w:val="000000"/>
                <w:lang w:eastAsia="en-GB"/>
              </w:rPr>
            </w:pPr>
            <w:r w:rsidRPr="00603830">
              <w:rPr>
                <w:rFonts w:asciiTheme="majorHAnsi" w:eastAsia="Times New Roman" w:hAnsiTheme="majorHAnsi" w:cs="Calibri"/>
                <w:color w:val="000000"/>
                <w:lang w:eastAsia="en-GB"/>
              </w:rPr>
              <w:t>Within the Market &amp; Credit risk, this risk comprises the sensitivity of the values of assets and financial instruments to changes in the inflation.</w:t>
            </w:r>
            <w:r w:rsidRPr="00603830">
              <w:rPr>
                <w:rFonts w:asciiTheme="majorHAnsi" w:eastAsia="Times New Roman" w:hAnsiTheme="majorHAnsi" w:cs="Calibri"/>
                <w:color w:val="000000"/>
                <w:lang w:eastAsia="en-GB"/>
              </w:rPr>
              <w:br/>
              <w:t xml:space="preserve">Inflation related to liabilities will be captured within the Standardised Non-Life, Life and Health Underwriting Risks. </w:t>
            </w:r>
          </w:p>
        </w:tc>
      </w:tr>
      <w:tr w:rsidR="00603830" w:rsidRPr="00603830" w14:paraId="18D4988C" w14:textId="77777777" w:rsidTr="00264C0B">
        <w:trPr>
          <w:trHeight w:val="576"/>
        </w:trPr>
        <w:tc>
          <w:tcPr>
            <w:tcW w:w="1069" w:type="pct"/>
            <w:vMerge/>
            <w:tcBorders>
              <w:top w:val="nil"/>
              <w:left w:val="single" w:sz="4" w:space="0" w:color="auto"/>
              <w:bottom w:val="single" w:sz="4" w:space="0" w:color="auto"/>
              <w:right w:val="single" w:sz="4" w:space="0" w:color="auto"/>
            </w:tcBorders>
            <w:vAlign w:val="center"/>
            <w:hideMark/>
          </w:tcPr>
          <w:p w14:paraId="6A634161" w14:textId="77777777" w:rsidR="00603830" w:rsidRPr="00603830" w:rsidRDefault="00603830" w:rsidP="00264C0B">
            <w:pPr>
              <w:ind w:right="6"/>
              <w:rPr>
                <w:rFonts w:asciiTheme="majorHAnsi" w:eastAsia="Times New Roman" w:hAnsiTheme="majorHAnsi" w:cs="Calibri"/>
                <w:b/>
                <w:bCs/>
                <w:color w:val="000000"/>
                <w:lang w:eastAsia="en-GB"/>
              </w:rPr>
            </w:pPr>
          </w:p>
        </w:tc>
        <w:tc>
          <w:tcPr>
            <w:tcW w:w="1006" w:type="pct"/>
            <w:tcBorders>
              <w:top w:val="nil"/>
              <w:left w:val="nil"/>
              <w:bottom w:val="single" w:sz="4" w:space="0" w:color="auto"/>
              <w:right w:val="single" w:sz="4" w:space="0" w:color="auto"/>
            </w:tcBorders>
            <w:shd w:val="clear" w:color="auto" w:fill="auto"/>
            <w:vAlign w:val="center"/>
            <w:hideMark/>
          </w:tcPr>
          <w:p w14:paraId="7CD00B2A" w14:textId="77777777" w:rsidR="00603830" w:rsidRPr="00603830" w:rsidRDefault="00603830" w:rsidP="00264C0B">
            <w:pPr>
              <w:ind w:right="6"/>
              <w:jc w:val="center"/>
              <w:rPr>
                <w:rFonts w:asciiTheme="majorHAnsi" w:eastAsia="Times New Roman" w:hAnsiTheme="majorHAnsi" w:cs="Calibri"/>
                <w:b/>
                <w:bCs/>
                <w:color w:val="000000"/>
                <w:lang w:eastAsia="en-GB"/>
              </w:rPr>
            </w:pPr>
            <w:r w:rsidRPr="00603830">
              <w:rPr>
                <w:rFonts w:asciiTheme="majorHAnsi" w:eastAsia="Times New Roman" w:hAnsiTheme="majorHAnsi" w:cs="Calibri"/>
                <w:b/>
                <w:bCs/>
                <w:color w:val="000000"/>
                <w:lang w:eastAsia="en-GB"/>
              </w:rPr>
              <w:t>Equity risk</w:t>
            </w:r>
          </w:p>
        </w:tc>
        <w:tc>
          <w:tcPr>
            <w:tcW w:w="2925" w:type="pct"/>
            <w:tcBorders>
              <w:top w:val="nil"/>
              <w:left w:val="nil"/>
              <w:bottom w:val="single" w:sz="4" w:space="0" w:color="auto"/>
              <w:right w:val="single" w:sz="4" w:space="0" w:color="auto"/>
            </w:tcBorders>
            <w:shd w:val="clear" w:color="auto" w:fill="auto"/>
            <w:vAlign w:val="bottom"/>
            <w:hideMark/>
          </w:tcPr>
          <w:p w14:paraId="54493DCC" w14:textId="77777777" w:rsidR="00603830" w:rsidRPr="00603830" w:rsidRDefault="00603830" w:rsidP="00264C0B">
            <w:pPr>
              <w:ind w:right="6"/>
              <w:rPr>
                <w:rFonts w:asciiTheme="majorHAnsi" w:eastAsia="Times New Roman" w:hAnsiTheme="majorHAnsi" w:cs="Calibri"/>
                <w:color w:val="000000"/>
                <w:lang w:eastAsia="en-GB"/>
              </w:rPr>
            </w:pPr>
            <w:r w:rsidRPr="00603830">
              <w:rPr>
                <w:rFonts w:asciiTheme="majorHAnsi" w:eastAsia="Times New Roman" w:hAnsiTheme="majorHAnsi" w:cs="Calibri"/>
                <w:color w:val="000000"/>
                <w:lang w:eastAsia="en-GB"/>
              </w:rPr>
              <w:t>Equity risk comprises the sensitivity of the values of assets, liabilities and financial instruments to changes in the level of market prices of equities.</w:t>
            </w:r>
          </w:p>
        </w:tc>
      </w:tr>
      <w:tr w:rsidR="00603830" w:rsidRPr="00603830" w14:paraId="0BD80FCD" w14:textId="77777777" w:rsidTr="00264C0B">
        <w:trPr>
          <w:trHeight w:val="576"/>
        </w:trPr>
        <w:tc>
          <w:tcPr>
            <w:tcW w:w="1069" w:type="pct"/>
            <w:vMerge/>
            <w:tcBorders>
              <w:top w:val="nil"/>
              <w:left w:val="single" w:sz="4" w:space="0" w:color="auto"/>
              <w:bottom w:val="single" w:sz="4" w:space="0" w:color="auto"/>
              <w:right w:val="single" w:sz="4" w:space="0" w:color="auto"/>
            </w:tcBorders>
            <w:vAlign w:val="center"/>
            <w:hideMark/>
          </w:tcPr>
          <w:p w14:paraId="2EECF9BE" w14:textId="77777777" w:rsidR="00603830" w:rsidRPr="00603830" w:rsidRDefault="00603830" w:rsidP="00264C0B">
            <w:pPr>
              <w:ind w:right="6"/>
              <w:rPr>
                <w:rFonts w:asciiTheme="majorHAnsi" w:eastAsia="Times New Roman" w:hAnsiTheme="majorHAnsi" w:cs="Calibri"/>
                <w:b/>
                <w:bCs/>
                <w:color w:val="000000"/>
                <w:lang w:eastAsia="en-GB"/>
              </w:rPr>
            </w:pPr>
          </w:p>
        </w:tc>
        <w:tc>
          <w:tcPr>
            <w:tcW w:w="1006" w:type="pct"/>
            <w:tcBorders>
              <w:top w:val="nil"/>
              <w:left w:val="nil"/>
              <w:bottom w:val="single" w:sz="4" w:space="0" w:color="auto"/>
              <w:right w:val="single" w:sz="4" w:space="0" w:color="auto"/>
            </w:tcBorders>
            <w:shd w:val="clear" w:color="auto" w:fill="auto"/>
            <w:vAlign w:val="center"/>
            <w:hideMark/>
          </w:tcPr>
          <w:p w14:paraId="5435C16B" w14:textId="77777777" w:rsidR="00603830" w:rsidRPr="00603830" w:rsidRDefault="00603830" w:rsidP="00264C0B">
            <w:pPr>
              <w:ind w:right="6"/>
              <w:jc w:val="center"/>
              <w:rPr>
                <w:rFonts w:asciiTheme="majorHAnsi" w:eastAsia="Times New Roman" w:hAnsiTheme="majorHAnsi" w:cs="Calibri"/>
                <w:b/>
                <w:bCs/>
                <w:color w:val="000000"/>
                <w:lang w:eastAsia="en-GB"/>
              </w:rPr>
            </w:pPr>
            <w:r w:rsidRPr="00603830">
              <w:rPr>
                <w:rFonts w:asciiTheme="majorHAnsi" w:eastAsia="Times New Roman" w:hAnsiTheme="majorHAnsi" w:cs="Calibri"/>
                <w:b/>
                <w:bCs/>
                <w:color w:val="000000"/>
                <w:lang w:eastAsia="en-GB"/>
              </w:rPr>
              <w:t>Equity Implied Volatility risk</w:t>
            </w:r>
          </w:p>
        </w:tc>
        <w:tc>
          <w:tcPr>
            <w:tcW w:w="2925" w:type="pct"/>
            <w:tcBorders>
              <w:top w:val="nil"/>
              <w:left w:val="nil"/>
              <w:bottom w:val="single" w:sz="4" w:space="0" w:color="auto"/>
              <w:right w:val="single" w:sz="4" w:space="0" w:color="auto"/>
            </w:tcBorders>
            <w:shd w:val="clear" w:color="auto" w:fill="auto"/>
            <w:vAlign w:val="bottom"/>
            <w:hideMark/>
          </w:tcPr>
          <w:p w14:paraId="2D4A0615" w14:textId="77777777" w:rsidR="00603830" w:rsidRPr="00603830" w:rsidRDefault="00603830" w:rsidP="00264C0B">
            <w:pPr>
              <w:ind w:right="6"/>
              <w:rPr>
                <w:rFonts w:asciiTheme="majorHAnsi" w:eastAsia="Times New Roman" w:hAnsiTheme="majorHAnsi" w:cs="Calibri"/>
                <w:color w:val="000000"/>
                <w:lang w:eastAsia="en-GB"/>
              </w:rPr>
            </w:pPr>
            <w:r w:rsidRPr="00603830">
              <w:rPr>
                <w:rFonts w:asciiTheme="majorHAnsi" w:eastAsia="Times New Roman" w:hAnsiTheme="majorHAnsi" w:cs="Calibri"/>
                <w:color w:val="000000"/>
                <w:lang w:eastAsia="en-GB"/>
              </w:rPr>
              <w:t>Equity implied volatility risk comprises the sensitivity of the values of assets, liabilities and financial instruments to changes in the implied volatility of market prices of equities.</w:t>
            </w:r>
          </w:p>
        </w:tc>
      </w:tr>
      <w:tr w:rsidR="00603830" w:rsidRPr="00603830" w14:paraId="30526F7E" w14:textId="77777777" w:rsidTr="00264C0B">
        <w:trPr>
          <w:trHeight w:val="864"/>
        </w:trPr>
        <w:tc>
          <w:tcPr>
            <w:tcW w:w="1069" w:type="pct"/>
            <w:vMerge/>
            <w:tcBorders>
              <w:top w:val="nil"/>
              <w:left w:val="single" w:sz="4" w:space="0" w:color="auto"/>
              <w:bottom w:val="single" w:sz="4" w:space="0" w:color="auto"/>
              <w:right w:val="single" w:sz="4" w:space="0" w:color="auto"/>
            </w:tcBorders>
            <w:vAlign w:val="center"/>
            <w:hideMark/>
          </w:tcPr>
          <w:p w14:paraId="7AE2D97A" w14:textId="77777777" w:rsidR="00603830" w:rsidRPr="00603830" w:rsidRDefault="00603830" w:rsidP="00264C0B">
            <w:pPr>
              <w:ind w:right="6"/>
              <w:rPr>
                <w:rFonts w:asciiTheme="majorHAnsi" w:eastAsia="Times New Roman" w:hAnsiTheme="majorHAnsi" w:cs="Calibri"/>
                <w:b/>
                <w:bCs/>
                <w:color w:val="000000"/>
                <w:lang w:eastAsia="en-GB"/>
              </w:rPr>
            </w:pPr>
          </w:p>
        </w:tc>
        <w:tc>
          <w:tcPr>
            <w:tcW w:w="1006" w:type="pct"/>
            <w:tcBorders>
              <w:top w:val="nil"/>
              <w:left w:val="nil"/>
              <w:bottom w:val="single" w:sz="4" w:space="0" w:color="auto"/>
              <w:right w:val="single" w:sz="4" w:space="0" w:color="auto"/>
            </w:tcBorders>
            <w:shd w:val="clear" w:color="auto" w:fill="auto"/>
            <w:vAlign w:val="center"/>
            <w:hideMark/>
          </w:tcPr>
          <w:p w14:paraId="6BBE0B63" w14:textId="77777777" w:rsidR="00603830" w:rsidRPr="00603830" w:rsidRDefault="00603830" w:rsidP="00264C0B">
            <w:pPr>
              <w:ind w:right="6"/>
              <w:jc w:val="center"/>
              <w:rPr>
                <w:rFonts w:asciiTheme="majorHAnsi" w:eastAsia="Times New Roman" w:hAnsiTheme="majorHAnsi" w:cs="Calibri"/>
                <w:b/>
                <w:bCs/>
                <w:color w:val="000000"/>
                <w:lang w:eastAsia="en-GB"/>
              </w:rPr>
            </w:pPr>
            <w:r w:rsidRPr="00603830">
              <w:rPr>
                <w:rFonts w:asciiTheme="majorHAnsi" w:eastAsia="Times New Roman" w:hAnsiTheme="majorHAnsi" w:cs="Calibri"/>
                <w:b/>
                <w:bCs/>
                <w:color w:val="000000"/>
                <w:lang w:eastAsia="en-GB"/>
              </w:rPr>
              <w:t>Property risk</w:t>
            </w:r>
          </w:p>
        </w:tc>
        <w:tc>
          <w:tcPr>
            <w:tcW w:w="2925" w:type="pct"/>
            <w:tcBorders>
              <w:top w:val="nil"/>
              <w:left w:val="nil"/>
              <w:bottom w:val="single" w:sz="4" w:space="0" w:color="auto"/>
              <w:right w:val="single" w:sz="4" w:space="0" w:color="auto"/>
            </w:tcBorders>
            <w:shd w:val="clear" w:color="auto" w:fill="auto"/>
            <w:vAlign w:val="bottom"/>
            <w:hideMark/>
          </w:tcPr>
          <w:p w14:paraId="74C7CEB8" w14:textId="77777777" w:rsidR="00603830" w:rsidRPr="00603830" w:rsidRDefault="00603830" w:rsidP="00264C0B">
            <w:pPr>
              <w:ind w:right="6"/>
              <w:rPr>
                <w:rFonts w:asciiTheme="majorHAnsi" w:eastAsia="Times New Roman" w:hAnsiTheme="majorHAnsi" w:cs="Calibri"/>
                <w:color w:val="000000"/>
                <w:lang w:eastAsia="en-GB"/>
              </w:rPr>
            </w:pPr>
            <w:r w:rsidRPr="00603830">
              <w:rPr>
                <w:rFonts w:asciiTheme="majorHAnsi" w:eastAsia="Times New Roman" w:hAnsiTheme="majorHAnsi" w:cs="Calibri"/>
                <w:color w:val="000000"/>
                <w:lang w:eastAsia="en-GB"/>
              </w:rPr>
              <w:t>Within the Market &amp; Credit risk, the property risk comprises the sensitivity of the values of assets, liabilities and financial instruments to changes in the level, or in the volatility of market prices of real estate.</w:t>
            </w:r>
          </w:p>
        </w:tc>
      </w:tr>
      <w:tr w:rsidR="00603830" w:rsidRPr="00603830" w14:paraId="40B48F6E" w14:textId="77777777" w:rsidTr="00264C0B">
        <w:trPr>
          <w:trHeight w:val="864"/>
        </w:trPr>
        <w:tc>
          <w:tcPr>
            <w:tcW w:w="1069" w:type="pct"/>
            <w:vMerge/>
            <w:tcBorders>
              <w:top w:val="nil"/>
              <w:left w:val="single" w:sz="4" w:space="0" w:color="auto"/>
              <w:bottom w:val="single" w:sz="4" w:space="0" w:color="auto"/>
              <w:right w:val="single" w:sz="4" w:space="0" w:color="auto"/>
            </w:tcBorders>
            <w:vAlign w:val="center"/>
            <w:hideMark/>
          </w:tcPr>
          <w:p w14:paraId="658BF7FB" w14:textId="77777777" w:rsidR="00603830" w:rsidRPr="00603830" w:rsidRDefault="00603830" w:rsidP="00264C0B">
            <w:pPr>
              <w:ind w:right="6"/>
              <w:rPr>
                <w:rFonts w:asciiTheme="majorHAnsi" w:eastAsia="Times New Roman" w:hAnsiTheme="majorHAnsi" w:cs="Calibri"/>
                <w:b/>
                <w:bCs/>
                <w:color w:val="000000"/>
                <w:lang w:eastAsia="en-GB"/>
              </w:rPr>
            </w:pPr>
          </w:p>
        </w:tc>
        <w:tc>
          <w:tcPr>
            <w:tcW w:w="1006" w:type="pct"/>
            <w:tcBorders>
              <w:top w:val="nil"/>
              <w:left w:val="nil"/>
              <w:bottom w:val="single" w:sz="4" w:space="0" w:color="auto"/>
              <w:right w:val="single" w:sz="4" w:space="0" w:color="auto"/>
            </w:tcBorders>
            <w:shd w:val="clear" w:color="auto" w:fill="auto"/>
            <w:vAlign w:val="center"/>
            <w:hideMark/>
          </w:tcPr>
          <w:p w14:paraId="45B555C3" w14:textId="77777777" w:rsidR="00603830" w:rsidRPr="00603830" w:rsidRDefault="00603830" w:rsidP="00264C0B">
            <w:pPr>
              <w:ind w:right="6"/>
              <w:jc w:val="center"/>
              <w:rPr>
                <w:rFonts w:asciiTheme="majorHAnsi" w:eastAsia="Times New Roman" w:hAnsiTheme="majorHAnsi" w:cs="Calibri"/>
                <w:b/>
                <w:bCs/>
                <w:color w:val="000000"/>
                <w:lang w:eastAsia="en-GB"/>
              </w:rPr>
            </w:pPr>
            <w:r w:rsidRPr="00603830">
              <w:rPr>
                <w:rFonts w:asciiTheme="majorHAnsi" w:eastAsia="Times New Roman" w:hAnsiTheme="majorHAnsi" w:cs="Calibri"/>
                <w:b/>
                <w:bCs/>
                <w:color w:val="000000"/>
                <w:lang w:eastAsia="en-GB"/>
              </w:rPr>
              <w:t>Currency risk</w:t>
            </w:r>
          </w:p>
        </w:tc>
        <w:tc>
          <w:tcPr>
            <w:tcW w:w="2925" w:type="pct"/>
            <w:tcBorders>
              <w:top w:val="nil"/>
              <w:left w:val="nil"/>
              <w:bottom w:val="single" w:sz="4" w:space="0" w:color="auto"/>
              <w:right w:val="single" w:sz="4" w:space="0" w:color="auto"/>
            </w:tcBorders>
            <w:shd w:val="clear" w:color="auto" w:fill="auto"/>
            <w:vAlign w:val="bottom"/>
            <w:hideMark/>
          </w:tcPr>
          <w:p w14:paraId="58A80429" w14:textId="77777777" w:rsidR="00603830" w:rsidRPr="00603830" w:rsidRDefault="00603830" w:rsidP="00264C0B">
            <w:pPr>
              <w:ind w:right="6"/>
              <w:rPr>
                <w:rFonts w:asciiTheme="majorHAnsi" w:eastAsia="Times New Roman" w:hAnsiTheme="majorHAnsi" w:cs="Calibri"/>
                <w:color w:val="000000"/>
                <w:lang w:eastAsia="en-GB"/>
              </w:rPr>
            </w:pPr>
            <w:r w:rsidRPr="00603830">
              <w:rPr>
                <w:rFonts w:asciiTheme="majorHAnsi" w:eastAsia="Times New Roman" w:hAnsiTheme="majorHAnsi" w:cs="Calibri"/>
                <w:color w:val="000000"/>
                <w:lang w:eastAsia="en-GB"/>
              </w:rPr>
              <w:t>Within the Market &amp; Credit risk, the currency risk comprises the sensitivity of the values of assets, liabilities and financial instruments to changes in the level, or in the volatility of currency exchange rates.</w:t>
            </w:r>
          </w:p>
        </w:tc>
      </w:tr>
      <w:tr w:rsidR="00603830" w:rsidRPr="00603830" w14:paraId="4DF1D482" w14:textId="77777777" w:rsidTr="00264C0B">
        <w:trPr>
          <w:trHeight w:val="3456"/>
        </w:trPr>
        <w:tc>
          <w:tcPr>
            <w:tcW w:w="1069" w:type="pct"/>
            <w:vMerge/>
            <w:tcBorders>
              <w:top w:val="nil"/>
              <w:left w:val="single" w:sz="4" w:space="0" w:color="auto"/>
              <w:bottom w:val="single" w:sz="4" w:space="0" w:color="auto"/>
              <w:right w:val="single" w:sz="4" w:space="0" w:color="auto"/>
            </w:tcBorders>
            <w:vAlign w:val="center"/>
            <w:hideMark/>
          </w:tcPr>
          <w:p w14:paraId="69EF566F" w14:textId="77777777" w:rsidR="00603830" w:rsidRPr="00603830" w:rsidRDefault="00603830" w:rsidP="00264C0B">
            <w:pPr>
              <w:ind w:right="6"/>
              <w:rPr>
                <w:rFonts w:asciiTheme="majorHAnsi" w:eastAsia="Times New Roman" w:hAnsiTheme="majorHAnsi" w:cs="Calibri"/>
                <w:b/>
                <w:bCs/>
                <w:color w:val="000000"/>
                <w:lang w:eastAsia="en-GB"/>
              </w:rPr>
            </w:pPr>
          </w:p>
        </w:tc>
        <w:tc>
          <w:tcPr>
            <w:tcW w:w="1006" w:type="pct"/>
            <w:tcBorders>
              <w:top w:val="nil"/>
              <w:left w:val="nil"/>
              <w:bottom w:val="single" w:sz="4" w:space="0" w:color="auto"/>
              <w:right w:val="single" w:sz="4" w:space="0" w:color="auto"/>
            </w:tcBorders>
            <w:shd w:val="clear" w:color="auto" w:fill="auto"/>
            <w:vAlign w:val="center"/>
            <w:hideMark/>
          </w:tcPr>
          <w:p w14:paraId="1DD3DA9C" w14:textId="77777777" w:rsidR="00603830" w:rsidRPr="00603830" w:rsidRDefault="00603830" w:rsidP="00264C0B">
            <w:pPr>
              <w:ind w:right="6"/>
              <w:jc w:val="center"/>
              <w:rPr>
                <w:rFonts w:asciiTheme="majorHAnsi" w:eastAsia="Times New Roman" w:hAnsiTheme="majorHAnsi" w:cs="Calibri"/>
                <w:b/>
                <w:bCs/>
                <w:color w:val="000000"/>
                <w:lang w:eastAsia="en-GB"/>
              </w:rPr>
            </w:pPr>
            <w:r w:rsidRPr="00603830">
              <w:rPr>
                <w:rFonts w:asciiTheme="majorHAnsi" w:eastAsia="Times New Roman" w:hAnsiTheme="majorHAnsi" w:cs="Calibri"/>
                <w:b/>
                <w:bCs/>
                <w:color w:val="000000"/>
                <w:lang w:eastAsia="en-GB"/>
              </w:rPr>
              <w:t>Credit spread risk 'Government and central banks'</w:t>
            </w:r>
          </w:p>
        </w:tc>
        <w:tc>
          <w:tcPr>
            <w:tcW w:w="2925" w:type="pct"/>
            <w:tcBorders>
              <w:top w:val="nil"/>
              <w:left w:val="nil"/>
              <w:bottom w:val="single" w:sz="4" w:space="0" w:color="auto"/>
              <w:right w:val="single" w:sz="4" w:space="0" w:color="auto"/>
            </w:tcBorders>
            <w:shd w:val="clear" w:color="auto" w:fill="auto"/>
            <w:vAlign w:val="bottom"/>
            <w:hideMark/>
          </w:tcPr>
          <w:p w14:paraId="637656EE" w14:textId="77777777" w:rsidR="00603830" w:rsidRPr="00603830" w:rsidRDefault="00603830" w:rsidP="00264C0B">
            <w:pPr>
              <w:ind w:right="6"/>
              <w:rPr>
                <w:rFonts w:asciiTheme="majorHAnsi" w:eastAsia="Times New Roman" w:hAnsiTheme="majorHAnsi" w:cs="Calibri"/>
                <w:color w:val="000000"/>
                <w:lang w:eastAsia="en-GB"/>
              </w:rPr>
            </w:pPr>
            <w:r w:rsidRPr="00603830">
              <w:rPr>
                <w:rFonts w:asciiTheme="majorHAnsi" w:eastAsia="Times New Roman" w:hAnsiTheme="majorHAnsi" w:cs="Calibri"/>
                <w:color w:val="000000"/>
                <w:lang w:eastAsia="en-GB"/>
              </w:rPr>
              <w:t xml:space="preserve">Credit spread risk ‘Government and central banks’ comprises the sensitivity of the values of assets, liabilities and financial instruments to changes in the value of financial instruments issued by governments and central banks due to changes in spreads over the risk free term structure which are not owed to migration or (partial) default. </w:t>
            </w:r>
            <w:r w:rsidRPr="00603830">
              <w:rPr>
                <w:rFonts w:asciiTheme="majorHAnsi" w:eastAsia="Times New Roman" w:hAnsiTheme="majorHAnsi" w:cs="Calibri"/>
                <w:color w:val="000000"/>
                <w:lang w:eastAsia="en-GB"/>
              </w:rPr>
              <w:br/>
            </w:r>
            <w:r w:rsidRPr="00603830">
              <w:rPr>
                <w:rFonts w:asciiTheme="majorHAnsi" w:eastAsia="Times New Roman" w:hAnsiTheme="majorHAnsi" w:cs="Calibri"/>
                <w:color w:val="000000"/>
                <w:lang w:eastAsia="en-GB"/>
              </w:rPr>
              <w:br/>
              <w:t>The following list enumerates the CIC codes of the asset classes that are considered to government or central banks: 13, 14, 15, 16, 17, 19. The CIC codes 13 and 14 were used to identify bonds issued by Regional government and local authorities (RGLA). RGLA should be allocated to government portfolio if they are listed in the Commission Implementing Regulation (EU) 2015/2011 (https://eur-</w:t>
            </w:r>
            <w:r w:rsidRPr="00603830">
              <w:rPr>
                <w:rFonts w:asciiTheme="majorHAnsi" w:eastAsia="Times New Roman" w:hAnsiTheme="majorHAnsi" w:cs="Calibri"/>
                <w:color w:val="000000"/>
                <w:lang w:eastAsia="en-GB"/>
              </w:rPr>
              <w:br/>
              <w:t>lex.europa.eu/eli/reg_impl/2015/2011/oj) and otherwise to non-financial corporate portfolio according to their credit quality step.</w:t>
            </w:r>
          </w:p>
        </w:tc>
      </w:tr>
      <w:tr w:rsidR="00603830" w:rsidRPr="00603830" w14:paraId="7AAD5939" w14:textId="77777777" w:rsidTr="00264C0B">
        <w:trPr>
          <w:trHeight w:val="1152"/>
        </w:trPr>
        <w:tc>
          <w:tcPr>
            <w:tcW w:w="1069" w:type="pct"/>
            <w:vMerge/>
            <w:tcBorders>
              <w:top w:val="nil"/>
              <w:left w:val="single" w:sz="4" w:space="0" w:color="auto"/>
              <w:bottom w:val="single" w:sz="4" w:space="0" w:color="auto"/>
              <w:right w:val="single" w:sz="4" w:space="0" w:color="auto"/>
            </w:tcBorders>
            <w:vAlign w:val="center"/>
            <w:hideMark/>
          </w:tcPr>
          <w:p w14:paraId="51725638" w14:textId="77777777" w:rsidR="00603830" w:rsidRPr="00603830" w:rsidRDefault="00603830" w:rsidP="00264C0B">
            <w:pPr>
              <w:ind w:right="6"/>
              <w:rPr>
                <w:rFonts w:asciiTheme="majorHAnsi" w:eastAsia="Times New Roman" w:hAnsiTheme="majorHAnsi" w:cs="Calibri"/>
                <w:b/>
                <w:bCs/>
                <w:color w:val="000000"/>
                <w:lang w:eastAsia="en-GB"/>
              </w:rPr>
            </w:pPr>
          </w:p>
        </w:tc>
        <w:tc>
          <w:tcPr>
            <w:tcW w:w="1006" w:type="pct"/>
            <w:tcBorders>
              <w:top w:val="nil"/>
              <w:left w:val="nil"/>
              <w:bottom w:val="single" w:sz="4" w:space="0" w:color="auto"/>
              <w:right w:val="single" w:sz="4" w:space="0" w:color="auto"/>
            </w:tcBorders>
            <w:shd w:val="clear" w:color="auto" w:fill="auto"/>
            <w:vAlign w:val="center"/>
            <w:hideMark/>
          </w:tcPr>
          <w:p w14:paraId="2A6277C3" w14:textId="77777777" w:rsidR="00603830" w:rsidRPr="00603830" w:rsidRDefault="00603830" w:rsidP="00264C0B">
            <w:pPr>
              <w:ind w:right="6"/>
              <w:jc w:val="center"/>
              <w:rPr>
                <w:rFonts w:asciiTheme="majorHAnsi" w:eastAsia="Times New Roman" w:hAnsiTheme="majorHAnsi" w:cs="Calibri"/>
                <w:b/>
                <w:bCs/>
                <w:color w:val="000000"/>
                <w:lang w:eastAsia="en-GB"/>
              </w:rPr>
            </w:pPr>
            <w:r w:rsidRPr="00603830">
              <w:rPr>
                <w:rFonts w:asciiTheme="majorHAnsi" w:eastAsia="Times New Roman" w:hAnsiTheme="majorHAnsi" w:cs="Calibri"/>
                <w:b/>
                <w:bCs/>
                <w:color w:val="000000"/>
                <w:lang w:eastAsia="en-GB"/>
              </w:rPr>
              <w:t>Credit Spread risk other</w:t>
            </w:r>
          </w:p>
        </w:tc>
        <w:tc>
          <w:tcPr>
            <w:tcW w:w="2925" w:type="pct"/>
            <w:tcBorders>
              <w:top w:val="nil"/>
              <w:left w:val="nil"/>
              <w:bottom w:val="single" w:sz="4" w:space="0" w:color="auto"/>
              <w:right w:val="single" w:sz="4" w:space="0" w:color="auto"/>
            </w:tcBorders>
            <w:shd w:val="clear" w:color="auto" w:fill="auto"/>
            <w:vAlign w:val="bottom"/>
            <w:hideMark/>
          </w:tcPr>
          <w:p w14:paraId="1E995061" w14:textId="77777777" w:rsidR="00603830" w:rsidRPr="00603830" w:rsidRDefault="00603830" w:rsidP="00264C0B">
            <w:pPr>
              <w:ind w:right="6"/>
              <w:rPr>
                <w:rFonts w:asciiTheme="majorHAnsi" w:eastAsia="Times New Roman" w:hAnsiTheme="majorHAnsi" w:cs="Calibri"/>
                <w:color w:val="000000"/>
                <w:lang w:eastAsia="en-GB"/>
              </w:rPr>
            </w:pPr>
            <w:r w:rsidRPr="00603830">
              <w:rPr>
                <w:rFonts w:asciiTheme="majorHAnsi" w:eastAsia="Times New Roman" w:hAnsiTheme="majorHAnsi" w:cs="Calibri"/>
                <w:color w:val="000000"/>
                <w:lang w:eastAsia="en-GB"/>
              </w:rPr>
              <w:t xml:space="preserve">Credit spread risk ‘other’ comprises the sensitivity of the values of assets, liabilities and financial instruments to changes in the value of financial instruments not issued by governments and central banks due to changes in spreads over the risk free term structure which are not owed to migration or (partial) default. </w:t>
            </w:r>
          </w:p>
        </w:tc>
      </w:tr>
      <w:tr w:rsidR="00603830" w:rsidRPr="00603830" w14:paraId="5D40799D" w14:textId="77777777" w:rsidTr="00264C0B">
        <w:trPr>
          <w:trHeight w:val="288"/>
        </w:trPr>
        <w:tc>
          <w:tcPr>
            <w:tcW w:w="1069" w:type="pct"/>
            <w:vMerge/>
            <w:tcBorders>
              <w:top w:val="nil"/>
              <w:left w:val="single" w:sz="4" w:space="0" w:color="auto"/>
              <w:bottom w:val="single" w:sz="4" w:space="0" w:color="auto"/>
              <w:right w:val="single" w:sz="4" w:space="0" w:color="auto"/>
            </w:tcBorders>
            <w:vAlign w:val="center"/>
            <w:hideMark/>
          </w:tcPr>
          <w:p w14:paraId="6744E48E" w14:textId="77777777" w:rsidR="00603830" w:rsidRPr="00603830" w:rsidRDefault="00603830" w:rsidP="00264C0B">
            <w:pPr>
              <w:ind w:right="6"/>
              <w:rPr>
                <w:rFonts w:asciiTheme="majorHAnsi" w:eastAsia="Times New Roman" w:hAnsiTheme="majorHAnsi" w:cs="Calibri"/>
                <w:b/>
                <w:bCs/>
                <w:color w:val="000000"/>
                <w:lang w:eastAsia="en-GB"/>
              </w:rPr>
            </w:pPr>
          </w:p>
        </w:tc>
        <w:tc>
          <w:tcPr>
            <w:tcW w:w="1006" w:type="pct"/>
            <w:tcBorders>
              <w:top w:val="nil"/>
              <w:left w:val="nil"/>
              <w:bottom w:val="single" w:sz="4" w:space="0" w:color="auto"/>
              <w:right w:val="single" w:sz="4" w:space="0" w:color="auto"/>
            </w:tcBorders>
            <w:shd w:val="clear" w:color="auto" w:fill="auto"/>
            <w:vAlign w:val="center"/>
            <w:hideMark/>
          </w:tcPr>
          <w:p w14:paraId="5900F75F" w14:textId="77777777" w:rsidR="00603830" w:rsidRPr="00603830" w:rsidRDefault="00603830" w:rsidP="00264C0B">
            <w:pPr>
              <w:ind w:right="6"/>
              <w:jc w:val="center"/>
              <w:rPr>
                <w:rFonts w:asciiTheme="majorHAnsi" w:eastAsia="Times New Roman" w:hAnsiTheme="majorHAnsi" w:cs="Calibri"/>
                <w:b/>
                <w:bCs/>
                <w:color w:val="000000"/>
                <w:lang w:eastAsia="en-GB"/>
              </w:rPr>
            </w:pPr>
            <w:r w:rsidRPr="00603830">
              <w:rPr>
                <w:rFonts w:asciiTheme="majorHAnsi" w:eastAsia="Times New Roman" w:hAnsiTheme="majorHAnsi" w:cs="Calibri"/>
                <w:b/>
                <w:bCs/>
                <w:color w:val="000000"/>
                <w:lang w:eastAsia="en-GB"/>
              </w:rPr>
              <w:t>Other Market risks including cross-terms</w:t>
            </w:r>
          </w:p>
        </w:tc>
        <w:tc>
          <w:tcPr>
            <w:tcW w:w="2925" w:type="pct"/>
            <w:tcBorders>
              <w:top w:val="nil"/>
              <w:left w:val="nil"/>
              <w:bottom w:val="single" w:sz="4" w:space="0" w:color="auto"/>
              <w:right w:val="single" w:sz="4" w:space="0" w:color="auto"/>
            </w:tcBorders>
            <w:shd w:val="clear" w:color="auto" w:fill="auto"/>
            <w:noWrap/>
            <w:vAlign w:val="bottom"/>
            <w:hideMark/>
          </w:tcPr>
          <w:p w14:paraId="151EE4E9" w14:textId="77777777" w:rsidR="00603830" w:rsidRPr="00603830" w:rsidRDefault="00603830" w:rsidP="00264C0B">
            <w:pPr>
              <w:ind w:right="6"/>
              <w:rPr>
                <w:rFonts w:asciiTheme="majorHAnsi" w:eastAsia="Times New Roman" w:hAnsiTheme="majorHAnsi" w:cs="Calibri"/>
                <w:color w:val="000000"/>
                <w:lang w:eastAsia="en-GB"/>
              </w:rPr>
            </w:pPr>
            <w:r w:rsidRPr="00603830">
              <w:rPr>
                <w:rFonts w:asciiTheme="majorHAnsi" w:eastAsia="Times New Roman" w:hAnsiTheme="majorHAnsi" w:cs="Calibri"/>
                <w:color w:val="000000"/>
                <w:lang w:eastAsia="en-GB"/>
              </w:rPr>
              <w:t xml:space="preserve">This bucket should contain any modelled Market risk not mentioned above. If the internal model models cross-terms within Market risk, they should be added to this bucket. </w:t>
            </w:r>
          </w:p>
        </w:tc>
      </w:tr>
      <w:tr w:rsidR="00603830" w:rsidRPr="00603830" w14:paraId="021013E9" w14:textId="77777777" w:rsidTr="00264C0B">
        <w:trPr>
          <w:trHeight w:val="288"/>
        </w:trPr>
        <w:tc>
          <w:tcPr>
            <w:tcW w:w="1069" w:type="pct"/>
            <w:vMerge w:val="restart"/>
            <w:tcBorders>
              <w:top w:val="nil"/>
              <w:left w:val="single" w:sz="4" w:space="0" w:color="auto"/>
              <w:bottom w:val="single" w:sz="4" w:space="0" w:color="auto"/>
              <w:right w:val="single" w:sz="4" w:space="0" w:color="auto"/>
            </w:tcBorders>
            <w:shd w:val="clear" w:color="auto" w:fill="auto"/>
            <w:vAlign w:val="center"/>
            <w:hideMark/>
          </w:tcPr>
          <w:p w14:paraId="0D865401" w14:textId="77777777" w:rsidR="00603830" w:rsidRPr="00603830" w:rsidRDefault="00603830" w:rsidP="00264C0B">
            <w:pPr>
              <w:ind w:right="6"/>
              <w:jc w:val="center"/>
              <w:rPr>
                <w:rFonts w:asciiTheme="majorHAnsi" w:eastAsia="Times New Roman" w:hAnsiTheme="majorHAnsi" w:cs="Calibri"/>
                <w:b/>
                <w:bCs/>
                <w:color w:val="000000"/>
                <w:lang w:eastAsia="en-GB"/>
              </w:rPr>
            </w:pPr>
            <w:r w:rsidRPr="00603830">
              <w:rPr>
                <w:rFonts w:asciiTheme="majorHAnsi" w:eastAsia="Times New Roman" w:hAnsiTheme="majorHAnsi" w:cs="Calibri"/>
                <w:b/>
                <w:bCs/>
                <w:lang w:eastAsia="en-GB"/>
              </w:rPr>
              <w:t>Standardised Credit risk</w:t>
            </w:r>
          </w:p>
        </w:tc>
        <w:tc>
          <w:tcPr>
            <w:tcW w:w="1006" w:type="pct"/>
            <w:tcBorders>
              <w:top w:val="nil"/>
              <w:left w:val="nil"/>
              <w:bottom w:val="single" w:sz="4" w:space="0" w:color="auto"/>
              <w:right w:val="single" w:sz="4" w:space="0" w:color="auto"/>
            </w:tcBorders>
            <w:shd w:val="clear" w:color="auto" w:fill="auto"/>
            <w:vAlign w:val="center"/>
            <w:hideMark/>
          </w:tcPr>
          <w:p w14:paraId="75516747" w14:textId="77777777" w:rsidR="00603830" w:rsidRPr="00603830" w:rsidRDefault="00603830" w:rsidP="00264C0B">
            <w:pPr>
              <w:ind w:right="6"/>
              <w:jc w:val="center"/>
              <w:rPr>
                <w:rFonts w:asciiTheme="majorHAnsi" w:eastAsia="Times New Roman" w:hAnsiTheme="majorHAnsi" w:cs="Calibri"/>
                <w:b/>
                <w:bCs/>
                <w:color w:val="000000"/>
                <w:lang w:eastAsia="en-GB"/>
              </w:rPr>
            </w:pPr>
            <w:r w:rsidRPr="00603830">
              <w:rPr>
                <w:rFonts w:asciiTheme="majorHAnsi" w:eastAsia="Times New Roman" w:hAnsiTheme="majorHAnsi" w:cs="Calibri"/>
                <w:b/>
                <w:bCs/>
                <w:color w:val="000000"/>
                <w:lang w:eastAsia="en-GB"/>
              </w:rPr>
              <w:t>Bonds and loans</w:t>
            </w:r>
          </w:p>
        </w:tc>
        <w:tc>
          <w:tcPr>
            <w:tcW w:w="2925" w:type="pct"/>
            <w:tcBorders>
              <w:top w:val="nil"/>
              <w:left w:val="nil"/>
              <w:bottom w:val="single" w:sz="4" w:space="0" w:color="auto"/>
              <w:right w:val="single" w:sz="4" w:space="0" w:color="auto"/>
            </w:tcBorders>
            <w:shd w:val="clear" w:color="auto" w:fill="auto"/>
            <w:noWrap/>
            <w:vAlign w:val="bottom"/>
            <w:hideMark/>
          </w:tcPr>
          <w:p w14:paraId="4EF4027B" w14:textId="77777777" w:rsidR="00603830" w:rsidRPr="00603830" w:rsidRDefault="00603830" w:rsidP="00264C0B">
            <w:pPr>
              <w:ind w:right="6"/>
              <w:rPr>
                <w:rFonts w:asciiTheme="majorHAnsi" w:eastAsia="Times New Roman" w:hAnsiTheme="majorHAnsi" w:cs="Calibri"/>
                <w:color w:val="000000"/>
                <w:lang w:eastAsia="en-GB"/>
              </w:rPr>
            </w:pPr>
            <w:r w:rsidRPr="00603830">
              <w:rPr>
                <w:rFonts w:asciiTheme="majorHAnsi" w:eastAsia="Times New Roman" w:hAnsiTheme="majorHAnsi" w:cs="Calibri"/>
                <w:color w:val="000000"/>
                <w:lang w:eastAsia="en-GB"/>
              </w:rPr>
              <w:t>The Credit risk for bonds and loans encompasses the sensitivity of the value of an undertaking’s bonds and loans with respect to a potential counterparty default or migration risk.</w:t>
            </w:r>
          </w:p>
        </w:tc>
      </w:tr>
      <w:tr w:rsidR="00603830" w:rsidRPr="00603830" w14:paraId="695FEDFF" w14:textId="77777777" w:rsidTr="00264C0B">
        <w:trPr>
          <w:trHeight w:val="288"/>
        </w:trPr>
        <w:tc>
          <w:tcPr>
            <w:tcW w:w="1069" w:type="pct"/>
            <w:vMerge/>
            <w:tcBorders>
              <w:top w:val="nil"/>
              <w:left w:val="single" w:sz="4" w:space="0" w:color="auto"/>
              <w:bottom w:val="single" w:sz="4" w:space="0" w:color="auto"/>
              <w:right w:val="single" w:sz="4" w:space="0" w:color="auto"/>
            </w:tcBorders>
            <w:shd w:val="clear" w:color="auto" w:fill="auto"/>
            <w:vAlign w:val="center"/>
            <w:hideMark/>
          </w:tcPr>
          <w:p w14:paraId="3DD88259" w14:textId="77777777" w:rsidR="00603830" w:rsidRPr="00603830" w:rsidRDefault="00603830" w:rsidP="00264C0B">
            <w:pPr>
              <w:ind w:right="6"/>
              <w:rPr>
                <w:rFonts w:asciiTheme="majorHAnsi" w:eastAsia="Times New Roman" w:hAnsiTheme="majorHAnsi" w:cs="Calibri"/>
                <w:b/>
                <w:bCs/>
                <w:color w:val="000000"/>
                <w:lang w:eastAsia="en-GB"/>
              </w:rPr>
            </w:pPr>
          </w:p>
        </w:tc>
        <w:tc>
          <w:tcPr>
            <w:tcW w:w="1006" w:type="pct"/>
            <w:tcBorders>
              <w:top w:val="nil"/>
              <w:left w:val="nil"/>
              <w:bottom w:val="single" w:sz="4" w:space="0" w:color="auto"/>
              <w:right w:val="single" w:sz="4" w:space="0" w:color="auto"/>
            </w:tcBorders>
            <w:shd w:val="clear" w:color="auto" w:fill="auto"/>
            <w:vAlign w:val="center"/>
            <w:hideMark/>
          </w:tcPr>
          <w:p w14:paraId="360D6CB9" w14:textId="77777777" w:rsidR="00603830" w:rsidRPr="00603830" w:rsidRDefault="00603830" w:rsidP="00264C0B">
            <w:pPr>
              <w:ind w:right="6"/>
              <w:jc w:val="center"/>
              <w:rPr>
                <w:rFonts w:asciiTheme="majorHAnsi" w:eastAsia="Times New Roman" w:hAnsiTheme="majorHAnsi" w:cs="Calibri"/>
                <w:b/>
                <w:bCs/>
                <w:color w:val="000000"/>
                <w:lang w:eastAsia="en-GB"/>
              </w:rPr>
            </w:pPr>
            <w:r w:rsidRPr="00603830">
              <w:rPr>
                <w:rFonts w:asciiTheme="majorHAnsi" w:eastAsia="Times New Roman" w:hAnsiTheme="majorHAnsi" w:cs="Calibri"/>
                <w:b/>
                <w:bCs/>
                <w:color w:val="000000"/>
                <w:lang w:eastAsia="en-GB"/>
              </w:rPr>
              <w:t>Reinsurance and derivatives</w:t>
            </w:r>
          </w:p>
        </w:tc>
        <w:tc>
          <w:tcPr>
            <w:tcW w:w="2925" w:type="pct"/>
            <w:tcBorders>
              <w:top w:val="nil"/>
              <w:left w:val="nil"/>
              <w:bottom w:val="single" w:sz="4" w:space="0" w:color="auto"/>
              <w:right w:val="single" w:sz="4" w:space="0" w:color="auto"/>
            </w:tcBorders>
            <w:shd w:val="clear" w:color="auto" w:fill="auto"/>
            <w:noWrap/>
            <w:vAlign w:val="bottom"/>
            <w:hideMark/>
          </w:tcPr>
          <w:p w14:paraId="3C10BE43" w14:textId="77777777" w:rsidR="00603830" w:rsidRPr="00603830" w:rsidRDefault="00603830" w:rsidP="00264C0B">
            <w:pPr>
              <w:ind w:right="6"/>
              <w:rPr>
                <w:rFonts w:asciiTheme="majorHAnsi" w:eastAsia="Times New Roman" w:hAnsiTheme="majorHAnsi" w:cs="Calibri"/>
                <w:color w:val="000000"/>
                <w:lang w:eastAsia="en-GB"/>
              </w:rPr>
            </w:pPr>
            <w:r w:rsidRPr="00603830">
              <w:rPr>
                <w:rFonts w:asciiTheme="majorHAnsi" w:eastAsia="Times New Roman" w:hAnsiTheme="majorHAnsi" w:cs="Calibri"/>
                <w:color w:val="000000"/>
                <w:lang w:eastAsia="en-GB"/>
              </w:rPr>
              <w:t>The Credit risk for reinsurance and derivatives encompasses the sensitivity of the value of an undertakings reinsurance and derivatives contracts with respect to a potential counterparty default or migration risk.</w:t>
            </w:r>
          </w:p>
        </w:tc>
      </w:tr>
      <w:tr w:rsidR="00603830" w:rsidRPr="00603830" w14:paraId="3DA5E826" w14:textId="77777777" w:rsidTr="00264C0B">
        <w:trPr>
          <w:trHeight w:val="288"/>
        </w:trPr>
        <w:tc>
          <w:tcPr>
            <w:tcW w:w="1069" w:type="pct"/>
            <w:vMerge/>
            <w:tcBorders>
              <w:top w:val="nil"/>
              <w:left w:val="single" w:sz="4" w:space="0" w:color="auto"/>
              <w:bottom w:val="single" w:sz="4" w:space="0" w:color="auto"/>
              <w:right w:val="single" w:sz="4" w:space="0" w:color="auto"/>
            </w:tcBorders>
            <w:shd w:val="clear" w:color="auto" w:fill="auto"/>
            <w:vAlign w:val="center"/>
            <w:hideMark/>
          </w:tcPr>
          <w:p w14:paraId="203A51CA" w14:textId="77777777" w:rsidR="00603830" w:rsidRPr="00603830" w:rsidRDefault="00603830" w:rsidP="00264C0B">
            <w:pPr>
              <w:ind w:right="6"/>
              <w:rPr>
                <w:rFonts w:asciiTheme="majorHAnsi" w:eastAsia="Times New Roman" w:hAnsiTheme="majorHAnsi" w:cs="Calibri"/>
                <w:b/>
                <w:bCs/>
                <w:color w:val="000000"/>
                <w:lang w:eastAsia="en-GB"/>
              </w:rPr>
            </w:pPr>
          </w:p>
        </w:tc>
        <w:tc>
          <w:tcPr>
            <w:tcW w:w="1006" w:type="pct"/>
            <w:tcBorders>
              <w:top w:val="nil"/>
              <w:left w:val="nil"/>
              <w:bottom w:val="single" w:sz="4" w:space="0" w:color="auto"/>
              <w:right w:val="single" w:sz="4" w:space="0" w:color="auto"/>
            </w:tcBorders>
            <w:shd w:val="clear" w:color="auto" w:fill="auto"/>
            <w:vAlign w:val="center"/>
            <w:hideMark/>
          </w:tcPr>
          <w:p w14:paraId="78607969" w14:textId="77777777" w:rsidR="00603830" w:rsidRPr="00603830" w:rsidRDefault="00603830" w:rsidP="00264C0B">
            <w:pPr>
              <w:ind w:right="6"/>
              <w:jc w:val="center"/>
              <w:rPr>
                <w:rFonts w:asciiTheme="majorHAnsi" w:eastAsia="Times New Roman" w:hAnsiTheme="majorHAnsi" w:cs="Calibri"/>
                <w:b/>
                <w:bCs/>
                <w:color w:val="000000"/>
                <w:lang w:eastAsia="en-GB"/>
              </w:rPr>
            </w:pPr>
            <w:r w:rsidRPr="00603830">
              <w:rPr>
                <w:rFonts w:asciiTheme="majorHAnsi" w:eastAsia="Times New Roman" w:hAnsiTheme="majorHAnsi" w:cs="Calibri"/>
                <w:b/>
                <w:bCs/>
                <w:color w:val="000000"/>
                <w:lang w:eastAsia="en-GB"/>
              </w:rPr>
              <w:t>Other Credit risks including cross-terms</w:t>
            </w:r>
          </w:p>
        </w:tc>
        <w:tc>
          <w:tcPr>
            <w:tcW w:w="2925" w:type="pct"/>
            <w:tcBorders>
              <w:top w:val="nil"/>
              <w:left w:val="nil"/>
              <w:bottom w:val="single" w:sz="4" w:space="0" w:color="auto"/>
              <w:right w:val="single" w:sz="4" w:space="0" w:color="auto"/>
            </w:tcBorders>
            <w:shd w:val="clear" w:color="auto" w:fill="auto"/>
            <w:noWrap/>
            <w:vAlign w:val="bottom"/>
            <w:hideMark/>
          </w:tcPr>
          <w:p w14:paraId="281EB8D7" w14:textId="77777777" w:rsidR="00603830" w:rsidRPr="00603830" w:rsidRDefault="00603830" w:rsidP="00264C0B">
            <w:pPr>
              <w:ind w:right="6"/>
              <w:rPr>
                <w:rFonts w:asciiTheme="majorHAnsi" w:eastAsia="Times New Roman" w:hAnsiTheme="majorHAnsi" w:cs="Calibri"/>
                <w:color w:val="000000"/>
                <w:lang w:eastAsia="en-GB"/>
              </w:rPr>
            </w:pPr>
            <w:r w:rsidRPr="00603830">
              <w:rPr>
                <w:rFonts w:asciiTheme="majorHAnsi" w:eastAsia="Times New Roman" w:hAnsiTheme="majorHAnsi" w:cs="Calibri"/>
                <w:color w:val="000000"/>
                <w:lang w:eastAsia="en-GB"/>
              </w:rPr>
              <w:t>This bucket contains any modelled Credit risk not mentioned above. If the internal model models cross-terms within Credit risk, they should be added to this bucket.</w:t>
            </w:r>
          </w:p>
        </w:tc>
      </w:tr>
      <w:tr w:rsidR="00603830" w:rsidRPr="00603830" w14:paraId="57E37D52" w14:textId="77777777" w:rsidTr="00264C0B">
        <w:trPr>
          <w:trHeight w:val="576"/>
        </w:trPr>
        <w:tc>
          <w:tcPr>
            <w:tcW w:w="1069" w:type="pct"/>
            <w:vMerge w:val="restart"/>
            <w:tcBorders>
              <w:top w:val="nil"/>
              <w:left w:val="single" w:sz="4" w:space="0" w:color="auto"/>
              <w:bottom w:val="single" w:sz="4" w:space="0" w:color="auto"/>
              <w:right w:val="single" w:sz="4" w:space="0" w:color="auto"/>
            </w:tcBorders>
            <w:shd w:val="clear" w:color="auto" w:fill="auto"/>
            <w:vAlign w:val="center"/>
            <w:hideMark/>
          </w:tcPr>
          <w:p w14:paraId="20C7BDB1" w14:textId="77777777" w:rsidR="00603830" w:rsidRPr="00603830" w:rsidRDefault="00603830" w:rsidP="00264C0B">
            <w:pPr>
              <w:ind w:right="6"/>
              <w:jc w:val="center"/>
              <w:rPr>
                <w:rFonts w:asciiTheme="majorHAnsi" w:eastAsia="Times New Roman" w:hAnsiTheme="majorHAnsi" w:cs="Calibri"/>
                <w:b/>
                <w:bCs/>
                <w:color w:val="000000"/>
                <w:lang w:eastAsia="en-GB"/>
              </w:rPr>
            </w:pPr>
            <w:r w:rsidRPr="00603830">
              <w:rPr>
                <w:rFonts w:asciiTheme="majorHAnsi" w:eastAsia="Times New Roman" w:hAnsiTheme="majorHAnsi" w:cs="Calibri"/>
                <w:b/>
                <w:bCs/>
                <w:color w:val="000000"/>
                <w:lang w:eastAsia="en-GB"/>
              </w:rPr>
              <w:t>Standardised</w:t>
            </w:r>
            <w:r w:rsidRPr="00603830">
              <w:rPr>
                <w:rFonts w:asciiTheme="majorHAnsi" w:eastAsia="Times New Roman" w:hAnsiTheme="majorHAnsi" w:cs="Calibri"/>
                <w:b/>
                <w:bCs/>
                <w:color w:val="000000"/>
                <w:lang w:eastAsia="en-GB"/>
              </w:rPr>
              <w:br/>
              <w:t>Life Underwriting Risk</w:t>
            </w:r>
          </w:p>
          <w:p w14:paraId="29C4F882" w14:textId="77777777" w:rsidR="00603830" w:rsidRPr="00603830" w:rsidRDefault="00603830" w:rsidP="00264C0B">
            <w:pPr>
              <w:ind w:right="6"/>
              <w:jc w:val="center"/>
              <w:rPr>
                <w:rFonts w:asciiTheme="majorHAnsi" w:eastAsia="Times New Roman" w:hAnsiTheme="majorHAnsi" w:cs="Calibri"/>
                <w:b/>
                <w:bCs/>
                <w:color w:val="000000"/>
                <w:lang w:eastAsia="en-GB"/>
              </w:rPr>
            </w:pPr>
            <w:r w:rsidRPr="00603830">
              <w:rPr>
                <w:rFonts w:asciiTheme="majorHAnsi" w:eastAsia="Times New Roman" w:hAnsiTheme="majorHAnsi" w:cs="Calibri"/>
                <w:b/>
                <w:bCs/>
                <w:color w:val="000000"/>
                <w:lang w:eastAsia="en-GB"/>
              </w:rPr>
              <w:t>(incl. inflation risk Life</w:t>
            </w:r>
          </w:p>
          <w:p w14:paraId="047E5877" w14:textId="77777777" w:rsidR="00603830" w:rsidRPr="00603830" w:rsidRDefault="00603830" w:rsidP="00264C0B">
            <w:pPr>
              <w:ind w:right="6"/>
              <w:jc w:val="center"/>
              <w:rPr>
                <w:rFonts w:asciiTheme="majorHAnsi" w:eastAsia="Times New Roman" w:hAnsiTheme="majorHAnsi" w:cs="Calibri"/>
                <w:b/>
                <w:bCs/>
                <w:color w:val="000000"/>
                <w:lang w:eastAsia="en-GB"/>
              </w:rPr>
            </w:pPr>
            <w:r w:rsidRPr="00603830">
              <w:rPr>
                <w:rFonts w:asciiTheme="majorHAnsi" w:eastAsia="Times New Roman" w:hAnsiTheme="majorHAnsi" w:cs="Calibri"/>
                <w:b/>
                <w:bCs/>
                <w:color w:val="000000"/>
                <w:lang w:eastAsia="en-GB"/>
              </w:rPr>
              <w:t>(excl. Non-Life annuities))</w:t>
            </w:r>
          </w:p>
        </w:tc>
        <w:tc>
          <w:tcPr>
            <w:tcW w:w="1006" w:type="pct"/>
            <w:tcBorders>
              <w:top w:val="nil"/>
              <w:left w:val="nil"/>
              <w:bottom w:val="single" w:sz="4" w:space="0" w:color="auto"/>
              <w:right w:val="single" w:sz="4" w:space="0" w:color="auto"/>
            </w:tcBorders>
            <w:shd w:val="clear" w:color="auto" w:fill="auto"/>
            <w:vAlign w:val="center"/>
            <w:hideMark/>
          </w:tcPr>
          <w:p w14:paraId="7E147A69" w14:textId="77777777" w:rsidR="00603830" w:rsidRPr="00603830" w:rsidRDefault="00603830" w:rsidP="00264C0B">
            <w:pPr>
              <w:ind w:right="6"/>
              <w:jc w:val="center"/>
              <w:rPr>
                <w:rFonts w:asciiTheme="majorHAnsi" w:eastAsia="Times New Roman" w:hAnsiTheme="majorHAnsi" w:cs="Calibri"/>
                <w:b/>
                <w:bCs/>
                <w:color w:val="000000"/>
                <w:lang w:eastAsia="en-GB"/>
              </w:rPr>
            </w:pPr>
            <w:r w:rsidRPr="00603830">
              <w:rPr>
                <w:rFonts w:asciiTheme="majorHAnsi" w:eastAsia="Times New Roman" w:hAnsiTheme="majorHAnsi" w:cs="Calibri"/>
                <w:b/>
                <w:bCs/>
                <w:color w:val="000000"/>
                <w:lang w:eastAsia="en-GB"/>
              </w:rPr>
              <w:t>Mortality &amp; Longevity risk combined aggregate</w:t>
            </w:r>
          </w:p>
        </w:tc>
        <w:tc>
          <w:tcPr>
            <w:tcW w:w="2925" w:type="pct"/>
            <w:tcBorders>
              <w:top w:val="nil"/>
              <w:left w:val="nil"/>
              <w:bottom w:val="single" w:sz="4" w:space="0" w:color="auto"/>
              <w:right w:val="single" w:sz="4" w:space="0" w:color="auto"/>
            </w:tcBorders>
            <w:shd w:val="clear" w:color="auto" w:fill="auto"/>
            <w:noWrap/>
            <w:vAlign w:val="bottom"/>
            <w:hideMark/>
          </w:tcPr>
          <w:p w14:paraId="72A8FC49" w14:textId="77777777" w:rsidR="00603830" w:rsidRPr="00603830" w:rsidRDefault="00603830" w:rsidP="00264C0B">
            <w:pPr>
              <w:ind w:right="6"/>
              <w:rPr>
                <w:rFonts w:asciiTheme="majorHAnsi" w:eastAsia="Times New Roman" w:hAnsiTheme="majorHAnsi" w:cs="Calibri"/>
                <w:color w:val="000000"/>
                <w:lang w:eastAsia="en-GB"/>
              </w:rPr>
            </w:pPr>
            <w:r w:rsidRPr="00603830">
              <w:rPr>
                <w:rFonts w:asciiTheme="majorHAnsi" w:eastAsia="Times New Roman" w:hAnsiTheme="majorHAnsi" w:cs="Calibri"/>
                <w:color w:val="000000"/>
                <w:lang w:eastAsia="en-GB"/>
              </w:rPr>
              <w:t>Mortality and longevity risk represent t</w:t>
            </w:r>
            <w:r w:rsidRPr="00603830">
              <w:rPr>
                <w:rFonts w:asciiTheme="majorHAnsi" w:hAnsiTheme="majorHAnsi"/>
              </w:rPr>
              <w:t>he risk of loss, or of adverse change in the value of insurance liabilities, resulting from changes in the level, trend, or volatility of mortality rates.</w:t>
            </w:r>
          </w:p>
        </w:tc>
      </w:tr>
      <w:tr w:rsidR="00603830" w:rsidRPr="00603830" w14:paraId="6C2E9BE3" w14:textId="77777777" w:rsidTr="00264C0B">
        <w:trPr>
          <w:trHeight w:val="288"/>
        </w:trPr>
        <w:tc>
          <w:tcPr>
            <w:tcW w:w="1069" w:type="pct"/>
            <w:vMerge/>
            <w:tcBorders>
              <w:top w:val="nil"/>
              <w:left w:val="single" w:sz="4" w:space="0" w:color="auto"/>
              <w:bottom w:val="single" w:sz="4" w:space="0" w:color="auto"/>
              <w:right w:val="single" w:sz="4" w:space="0" w:color="auto"/>
            </w:tcBorders>
            <w:vAlign w:val="center"/>
            <w:hideMark/>
          </w:tcPr>
          <w:p w14:paraId="4D4B95EB" w14:textId="77777777" w:rsidR="00603830" w:rsidRPr="00603830" w:rsidRDefault="00603830" w:rsidP="00264C0B">
            <w:pPr>
              <w:ind w:right="6"/>
              <w:rPr>
                <w:rFonts w:asciiTheme="majorHAnsi" w:eastAsia="Times New Roman" w:hAnsiTheme="majorHAnsi" w:cs="Calibri"/>
                <w:b/>
                <w:bCs/>
                <w:color w:val="000000"/>
                <w:lang w:eastAsia="en-GB"/>
              </w:rPr>
            </w:pPr>
          </w:p>
        </w:tc>
        <w:tc>
          <w:tcPr>
            <w:tcW w:w="1006" w:type="pct"/>
            <w:tcBorders>
              <w:top w:val="nil"/>
              <w:left w:val="nil"/>
              <w:bottom w:val="single" w:sz="4" w:space="0" w:color="auto"/>
              <w:right w:val="single" w:sz="4" w:space="0" w:color="auto"/>
            </w:tcBorders>
            <w:shd w:val="clear" w:color="auto" w:fill="auto"/>
            <w:vAlign w:val="center"/>
            <w:hideMark/>
          </w:tcPr>
          <w:p w14:paraId="67C33E1F" w14:textId="77777777" w:rsidR="00603830" w:rsidRPr="00603830" w:rsidRDefault="00603830" w:rsidP="00264C0B">
            <w:pPr>
              <w:ind w:right="6"/>
              <w:jc w:val="center"/>
              <w:rPr>
                <w:rFonts w:asciiTheme="majorHAnsi" w:eastAsia="Times New Roman" w:hAnsiTheme="majorHAnsi" w:cs="Calibri"/>
                <w:b/>
                <w:bCs/>
                <w:color w:val="000000"/>
                <w:lang w:eastAsia="en-GB"/>
              </w:rPr>
            </w:pPr>
            <w:r w:rsidRPr="00603830">
              <w:rPr>
                <w:rFonts w:asciiTheme="majorHAnsi" w:eastAsia="Times New Roman" w:hAnsiTheme="majorHAnsi" w:cs="Calibri"/>
                <w:b/>
                <w:bCs/>
                <w:color w:val="000000"/>
                <w:lang w:eastAsia="en-GB"/>
              </w:rPr>
              <w:t>Lapse risk aggregate</w:t>
            </w:r>
          </w:p>
        </w:tc>
        <w:tc>
          <w:tcPr>
            <w:tcW w:w="2925" w:type="pct"/>
            <w:tcBorders>
              <w:top w:val="nil"/>
              <w:left w:val="nil"/>
              <w:bottom w:val="single" w:sz="4" w:space="0" w:color="auto"/>
              <w:right w:val="single" w:sz="4" w:space="0" w:color="auto"/>
            </w:tcBorders>
            <w:shd w:val="clear" w:color="auto" w:fill="auto"/>
            <w:noWrap/>
            <w:vAlign w:val="bottom"/>
            <w:hideMark/>
          </w:tcPr>
          <w:p w14:paraId="48331EBA" w14:textId="77777777" w:rsidR="00603830" w:rsidRPr="00603830" w:rsidRDefault="00603830" w:rsidP="00264C0B">
            <w:pPr>
              <w:ind w:right="6"/>
              <w:rPr>
                <w:rFonts w:asciiTheme="majorHAnsi" w:eastAsia="Times New Roman" w:hAnsiTheme="majorHAnsi" w:cs="Calibri"/>
                <w:color w:val="000000"/>
                <w:lang w:eastAsia="en-GB"/>
              </w:rPr>
            </w:pPr>
            <w:r w:rsidRPr="00603830">
              <w:rPr>
                <w:rFonts w:asciiTheme="majorHAnsi" w:eastAsia="Times New Roman" w:hAnsiTheme="majorHAnsi" w:cs="Calibri"/>
                <w:color w:val="000000"/>
                <w:lang w:eastAsia="en-GB"/>
              </w:rPr>
              <w:t xml:space="preserve">Lapse risk represents </w:t>
            </w:r>
            <w:r w:rsidRPr="00603830">
              <w:rPr>
                <w:rFonts w:asciiTheme="majorHAnsi" w:hAnsiTheme="majorHAnsi"/>
              </w:rPr>
              <w:t xml:space="preserve">the risk of loss, or of adverse change in the value of insurance liabilities, resulting from changes in the level or volatility of the rates of policy lapses, terminations, </w:t>
            </w:r>
            <w:r w:rsidRPr="00603830">
              <w:rPr>
                <w:rFonts w:asciiTheme="majorHAnsi" w:hAnsiTheme="majorHAnsi"/>
              </w:rPr>
              <w:lastRenderedPageBreak/>
              <w:t>renewals and surrenders.</w:t>
            </w:r>
          </w:p>
        </w:tc>
      </w:tr>
      <w:tr w:rsidR="00603830" w:rsidRPr="00603830" w14:paraId="64E6921E" w14:textId="77777777" w:rsidTr="00264C0B">
        <w:trPr>
          <w:trHeight w:val="288"/>
        </w:trPr>
        <w:tc>
          <w:tcPr>
            <w:tcW w:w="1069" w:type="pct"/>
            <w:vMerge/>
            <w:tcBorders>
              <w:top w:val="nil"/>
              <w:left w:val="single" w:sz="4" w:space="0" w:color="auto"/>
              <w:bottom w:val="single" w:sz="4" w:space="0" w:color="auto"/>
              <w:right w:val="single" w:sz="4" w:space="0" w:color="auto"/>
            </w:tcBorders>
            <w:vAlign w:val="center"/>
            <w:hideMark/>
          </w:tcPr>
          <w:p w14:paraId="531F36E5" w14:textId="77777777" w:rsidR="00603830" w:rsidRPr="00603830" w:rsidRDefault="00603830" w:rsidP="00264C0B">
            <w:pPr>
              <w:ind w:right="6"/>
              <w:rPr>
                <w:rFonts w:asciiTheme="majorHAnsi" w:eastAsia="Times New Roman" w:hAnsiTheme="majorHAnsi" w:cs="Calibri"/>
                <w:b/>
                <w:bCs/>
                <w:color w:val="000000"/>
                <w:lang w:eastAsia="en-GB"/>
              </w:rPr>
            </w:pPr>
          </w:p>
        </w:tc>
        <w:tc>
          <w:tcPr>
            <w:tcW w:w="1006" w:type="pct"/>
            <w:tcBorders>
              <w:top w:val="nil"/>
              <w:left w:val="nil"/>
              <w:bottom w:val="single" w:sz="4" w:space="0" w:color="auto"/>
              <w:right w:val="single" w:sz="4" w:space="0" w:color="auto"/>
            </w:tcBorders>
            <w:shd w:val="clear" w:color="auto" w:fill="auto"/>
            <w:vAlign w:val="center"/>
            <w:hideMark/>
          </w:tcPr>
          <w:p w14:paraId="6F89CA87" w14:textId="77777777" w:rsidR="00603830" w:rsidRPr="00603830" w:rsidRDefault="00603830" w:rsidP="00264C0B">
            <w:pPr>
              <w:ind w:right="6"/>
              <w:jc w:val="center"/>
              <w:rPr>
                <w:rFonts w:asciiTheme="majorHAnsi" w:eastAsia="Times New Roman" w:hAnsiTheme="majorHAnsi" w:cs="Calibri"/>
                <w:b/>
                <w:bCs/>
                <w:color w:val="000000"/>
                <w:lang w:eastAsia="en-GB"/>
              </w:rPr>
            </w:pPr>
            <w:r w:rsidRPr="00603830">
              <w:rPr>
                <w:rFonts w:asciiTheme="majorHAnsi" w:eastAsia="Times New Roman" w:hAnsiTheme="majorHAnsi" w:cs="Calibri"/>
                <w:b/>
                <w:bCs/>
                <w:color w:val="000000"/>
                <w:lang w:eastAsia="en-GB"/>
              </w:rPr>
              <w:t>Life expense risk</w:t>
            </w:r>
          </w:p>
        </w:tc>
        <w:tc>
          <w:tcPr>
            <w:tcW w:w="2925" w:type="pct"/>
            <w:tcBorders>
              <w:top w:val="nil"/>
              <w:left w:val="nil"/>
              <w:bottom w:val="single" w:sz="4" w:space="0" w:color="auto"/>
              <w:right w:val="single" w:sz="4" w:space="0" w:color="auto"/>
            </w:tcBorders>
            <w:shd w:val="clear" w:color="auto" w:fill="auto"/>
            <w:noWrap/>
            <w:vAlign w:val="bottom"/>
            <w:hideMark/>
          </w:tcPr>
          <w:p w14:paraId="142B86FF" w14:textId="77777777" w:rsidR="00603830" w:rsidRPr="00603830" w:rsidRDefault="00603830" w:rsidP="00264C0B">
            <w:pPr>
              <w:ind w:right="6"/>
              <w:rPr>
                <w:rFonts w:asciiTheme="majorHAnsi" w:eastAsia="Times New Roman" w:hAnsiTheme="majorHAnsi" w:cs="Calibri"/>
                <w:color w:val="000000"/>
                <w:lang w:eastAsia="en-GB"/>
              </w:rPr>
            </w:pPr>
            <w:r w:rsidRPr="00603830">
              <w:rPr>
                <w:rFonts w:asciiTheme="majorHAnsi" w:eastAsia="Times New Roman" w:hAnsiTheme="majorHAnsi" w:cs="Calibri"/>
                <w:color w:val="000000"/>
                <w:lang w:eastAsia="en-GB"/>
              </w:rPr>
              <w:t xml:space="preserve">Life expense risk represents </w:t>
            </w:r>
            <w:r w:rsidRPr="00603830">
              <w:rPr>
                <w:rFonts w:asciiTheme="majorHAnsi" w:hAnsiTheme="majorHAnsi"/>
              </w:rPr>
              <w:t>the risk of loss, or of adverse change in the value of life insurance liabilities, resulting from changes in the level, trend, or volatility of the expenses incurred in servicing insurance or reinsurance contracts.</w:t>
            </w:r>
          </w:p>
        </w:tc>
      </w:tr>
      <w:tr w:rsidR="00603830" w:rsidRPr="00603830" w14:paraId="7FA9BBB9" w14:textId="77777777" w:rsidTr="00264C0B">
        <w:trPr>
          <w:trHeight w:val="288"/>
        </w:trPr>
        <w:tc>
          <w:tcPr>
            <w:tcW w:w="1069" w:type="pct"/>
            <w:vMerge/>
            <w:tcBorders>
              <w:top w:val="nil"/>
              <w:left w:val="single" w:sz="4" w:space="0" w:color="auto"/>
              <w:bottom w:val="single" w:sz="4" w:space="0" w:color="auto"/>
              <w:right w:val="single" w:sz="4" w:space="0" w:color="auto"/>
            </w:tcBorders>
            <w:vAlign w:val="center"/>
            <w:hideMark/>
          </w:tcPr>
          <w:p w14:paraId="7C806C8D" w14:textId="77777777" w:rsidR="00603830" w:rsidRPr="00603830" w:rsidRDefault="00603830" w:rsidP="00264C0B">
            <w:pPr>
              <w:ind w:right="6"/>
              <w:rPr>
                <w:rFonts w:asciiTheme="majorHAnsi" w:eastAsia="Times New Roman" w:hAnsiTheme="majorHAnsi" w:cs="Calibri"/>
                <w:b/>
                <w:bCs/>
                <w:color w:val="000000"/>
                <w:lang w:eastAsia="en-GB"/>
              </w:rPr>
            </w:pPr>
          </w:p>
        </w:tc>
        <w:tc>
          <w:tcPr>
            <w:tcW w:w="1006" w:type="pct"/>
            <w:tcBorders>
              <w:top w:val="nil"/>
              <w:left w:val="nil"/>
              <w:bottom w:val="single" w:sz="4" w:space="0" w:color="auto"/>
              <w:right w:val="single" w:sz="4" w:space="0" w:color="auto"/>
            </w:tcBorders>
            <w:shd w:val="clear" w:color="auto" w:fill="auto"/>
            <w:vAlign w:val="center"/>
            <w:hideMark/>
          </w:tcPr>
          <w:p w14:paraId="65D14D63" w14:textId="77777777" w:rsidR="00603830" w:rsidRPr="00603830" w:rsidRDefault="00603830" w:rsidP="00264C0B">
            <w:pPr>
              <w:ind w:right="6"/>
              <w:jc w:val="center"/>
              <w:rPr>
                <w:rFonts w:asciiTheme="majorHAnsi" w:eastAsia="Times New Roman" w:hAnsiTheme="majorHAnsi" w:cs="Calibri"/>
                <w:b/>
                <w:bCs/>
                <w:color w:val="000000"/>
                <w:lang w:eastAsia="en-GB"/>
              </w:rPr>
            </w:pPr>
            <w:r w:rsidRPr="00603830">
              <w:rPr>
                <w:rFonts w:asciiTheme="majorHAnsi" w:eastAsia="Times New Roman" w:hAnsiTheme="majorHAnsi" w:cs="Calibri"/>
                <w:b/>
                <w:bCs/>
                <w:color w:val="000000"/>
                <w:lang w:eastAsia="en-GB"/>
              </w:rPr>
              <w:t>Life catastrophe risk</w:t>
            </w:r>
          </w:p>
        </w:tc>
        <w:tc>
          <w:tcPr>
            <w:tcW w:w="2925" w:type="pct"/>
            <w:tcBorders>
              <w:top w:val="nil"/>
              <w:left w:val="nil"/>
              <w:bottom w:val="single" w:sz="4" w:space="0" w:color="auto"/>
              <w:right w:val="single" w:sz="4" w:space="0" w:color="auto"/>
            </w:tcBorders>
            <w:shd w:val="clear" w:color="auto" w:fill="auto"/>
            <w:noWrap/>
            <w:vAlign w:val="bottom"/>
            <w:hideMark/>
          </w:tcPr>
          <w:p w14:paraId="2992CC06" w14:textId="77777777" w:rsidR="00603830" w:rsidRPr="00603830" w:rsidRDefault="00603830" w:rsidP="00264C0B">
            <w:pPr>
              <w:ind w:right="6"/>
              <w:rPr>
                <w:rFonts w:asciiTheme="majorHAnsi" w:eastAsia="Times New Roman" w:hAnsiTheme="majorHAnsi" w:cs="Calibri"/>
                <w:color w:val="000000"/>
                <w:lang w:eastAsia="en-GB"/>
              </w:rPr>
            </w:pPr>
            <w:r w:rsidRPr="00603830">
              <w:rPr>
                <w:rFonts w:asciiTheme="majorHAnsi" w:eastAsia="Times New Roman" w:hAnsiTheme="majorHAnsi" w:cs="Calibri"/>
                <w:color w:val="000000"/>
                <w:lang w:eastAsia="en-GB"/>
              </w:rPr>
              <w:t>Life catastrophe risk represents the risk of loss, or of adverse change in the value of insurance liabilities, resulting</w:t>
            </w:r>
            <w:r w:rsidRPr="00603830">
              <w:rPr>
                <w:rFonts w:asciiTheme="majorHAnsi" w:hAnsiTheme="majorHAnsi"/>
              </w:rPr>
              <w:t xml:space="preserve"> from the significant uncertainty of pricing and provisioning assumptions related to extreme or irregular events</w:t>
            </w:r>
          </w:p>
        </w:tc>
      </w:tr>
      <w:tr w:rsidR="00603830" w:rsidRPr="00603830" w14:paraId="7222C3A1" w14:textId="77777777" w:rsidTr="00264C0B">
        <w:trPr>
          <w:trHeight w:val="288"/>
        </w:trPr>
        <w:tc>
          <w:tcPr>
            <w:tcW w:w="1069" w:type="pct"/>
            <w:vMerge/>
            <w:tcBorders>
              <w:top w:val="nil"/>
              <w:left w:val="single" w:sz="4" w:space="0" w:color="auto"/>
              <w:bottom w:val="single" w:sz="4" w:space="0" w:color="auto"/>
              <w:right w:val="single" w:sz="4" w:space="0" w:color="auto"/>
            </w:tcBorders>
            <w:vAlign w:val="center"/>
            <w:hideMark/>
          </w:tcPr>
          <w:p w14:paraId="2D93953B" w14:textId="77777777" w:rsidR="00603830" w:rsidRPr="00603830" w:rsidRDefault="00603830" w:rsidP="00264C0B">
            <w:pPr>
              <w:ind w:right="6"/>
              <w:rPr>
                <w:rFonts w:asciiTheme="majorHAnsi" w:eastAsia="Times New Roman" w:hAnsiTheme="majorHAnsi" w:cs="Calibri"/>
                <w:b/>
                <w:bCs/>
                <w:color w:val="000000"/>
                <w:lang w:eastAsia="en-GB"/>
              </w:rPr>
            </w:pPr>
          </w:p>
        </w:tc>
        <w:tc>
          <w:tcPr>
            <w:tcW w:w="1006" w:type="pct"/>
            <w:tcBorders>
              <w:top w:val="nil"/>
              <w:left w:val="nil"/>
              <w:bottom w:val="single" w:sz="4" w:space="0" w:color="auto"/>
              <w:right w:val="single" w:sz="4" w:space="0" w:color="auto"/>
            </w:tcBorders>
            <w:shd w:val="clear" w:color="auto" w:fill="auto"/>
            <w:vAlign w:val="center"/>
            <w:hideMark/>
          </w:tcPr>
          <w:p w14:paraId="11D0B700" w14:textId="77777777" w:rsidR="00603830" w:rsidRPr="00603830" w:rsidRDefault="00603830" w:rsidP="00264C0B">
            <w:pPr>
              <w:ind w:right="6"/>
              <w:jc w:val="center"/>
              <w:rPr>
                <w:rFonts w:asciiTheme="majorHAnsi" w:eastAsia="Times New Roman" w:hAnsiTheme="majorHAnsi" w:cs="Calibri"/>
                <w:b/>
                <w:bCs/>
                <w:color w:val="000000"/>
                <w:lang w:eastAsia="en-GB"/>
              </w:rPr>
            </w:pPr>
            <w:r w:rsidRPr="00603830">
              <w:rPr>
                <w:rFonts w:asciiTheme="majorHAnsi" w:eastAsia="Times New Roman" w:hAnsiTheme="majorHAnsi" w:cs="Calibri"/>
                <w:b/>
                <w:bCs/>
                <w:color w:val="000000"/>
                <w:lang w:eastAsia="en-GB"/>
              </w:rPr>
              <w:t>Disability-morbidity risk aggregate</w:t>
            </w:r>
          </w:p>
        </w:tc>
        <w:tc>
          <w:tcPr>
            <w:tcW w:w="2925" w:type="pct"/>
            <w:tcBorders>
              <w:top w:val="nil"/>
              <w:left w:val="nil"/>
              <w:bottom w:val="single" w:sz="4" w:space="0" w:color="auto"/>
              <w:right w:val="single" w:sz="4" w:space="0" w:color="auto"/>
            </w:tcBorders>
            <w:shd w:val="clear" w:color="auto" w:fill="auto"/>
            <w:noWrap/>
            <w:vAlign w:val="bottom"/>
            <w:hideMark/>
          </w:tcPr>
          <w:p w14:paraId="0F09482E" w14:textId="77777777" w:rsidR="00603830" w:rsidRPr="00603830" w:rsidRDefault="00603830" w:rsidP="00264C0B">
            <w:pPr>
              <w:ind w:right="6"/>
              <w:rPr>
                <w:rFonts w:asciiTheme="majorHAnsi" w:eastAsia="Times New Roman" w:hAnsiTheme="majorHAnsi" w:cs="Calibri"/>
                <w:color w:val="000000"/>
                <w:lang w:eastAsia="en-GB"/>
              </w:rPr>
            </w:pPr>
            <w:r w:rsidRPr="00603830">
              <w:rPr>
                <w:rFonts w:asciiTheme="majorHAnsi" w:hAnsiTheme="majorHAnsi"/>
              </w:rPr>
              <w:t>Disability and morbidity risk represents the risk of loss, or of adverse change in the value of insurance liabilities, resulting from changes in the level, trend or volatility of disability, sickness and morbidity rates.</w:t>
            </w:r>
          </w:p>
        </w:tc>
      </w:tr>
      <w:tr w:rsidR="00603830" w:rsidRPr="00603830" w14:paraId="18ED38DD" w14:textId="77777777" w:rsidTr="00264C0B">
        <w:trPr>
          <w:trHeight w:val="288"/>
        </w:trPr>
        <w:tc>
          <w:tcPr>
            <w:tcW w:w="1069" w:type="pct"/>
            <w:vMerge/>
            <w:tcBorders>
              <w:top w:val="nil"/>
              <w:left w:val="single" w:sz="4" w:space="0" w:color="auto"/>
              <w:bottom w:val="single" w:sz="4" w:space="0" w:color="auto"/>
              <w:right w:val="single" w:sz="4" w:space="0" w:color="auto"/>
            </w:tcBorders>
            <w:vAlign w:val="center"/>
            <w:hideMark/>
          </w:tcPr>
          <w:p w14:paraId="3AB7FD29" w14:textId="77777777" w:rsidR="00603830" w:rsidRPr="00603830" w:rsidRDefault="00603830" w:rsidP="00264C0B">
            <w:pPr>
              <w:ind w:right="6"/>
              <w:rPr>
                <w:rFonts w:asciiTheme="majorHAnsi" w:eastAsia="Times New Roman" w:hAnsiTheme="majorHAnsi" w:cs="Calibri"/>
                <w:b/>
                <w:bCs/>
                <w:color w:val="000000"/>
                <w:lang w:eastAsia="en-GB"/>
              </w:rPr>
            </w:pPr>
          </w:p>
        </w:tc>
        <w:tc>
          <w:tcPr>
            <w:tcW w:w="1006" w:type="pct"/>
            <w:tcBorders>
              <w:top w:val="nil"/>
              <w:left w:val="nil"/>
              <w:bottom w:val="single" w:sz="4" w:space="0" w:color="auto"/>
              <w:right w:val="single" w:sz="4" w:space="0" w:color="auto"/>
            </w:tcBorders>
            <w:shd w:val="clear" w:color="auto" w:fill="auto"/>
            <w:vAlign w:val="center"/>
            <w:hideMark/>
          </w:tcPr>
          <w:p w14:paraId="3F77E988" w14:textId="77777777" w:rsidR="00603830" w:rsidRPr="00603830" w:rsidRDefault="00603830" w:rsidP="00264C0B">
            <w:pPr>
              <w:ind w:right="6"/>
              <w:jc w:val="center"/>
              <w:rPr>
                <w:rFonts w:asciiTheme="majorHAnsi" w:eastAsia="Times New Roman" w:hAnsiTheme="majorHAnsi" w:cs="Calibri"/>
                <w:b/>
                <w:bCs/>
                <w:color w:val="000000"/>
                <w:lang w:eastAsia="en-GB"/>
              </w:rPr>
            </w:pPr>
            <w:r w:rsidRPr="00603830">
              <w:rPr>
                <w:rFonts w:asciiTheme="majorHAnsi" w:eastAsia="Times New Roman" w:hAnsiTheme="majorHAnsi" w:cs="Calibri"/>
                <w:b/>
                <w:bCs/>
                <w:color w:val="000000"/>
                <w:lang w:eastAsia="en-GB"/>
              </w:rPr>
              <w:t>Life revision risk</w:t>
            </w:r>
          </w:p>
        </w:tc>
        <w:tc>
          <w:tcPr>
            <w:tcW w:w="2925" w:type="pct"/>
            <w:tcBorders>
              <w:top w:val="nil"/>
              <w:left w:val="nil"/>
              <w:bottom w:val="single" w:sz="4" w:space="0" w:color="auto"/>
              <w:right w:val="single" w:sz="4" w:space="0" w:color="auto"/>
            </w:tcBorders>
            <w:shd w:val="clear" w:color="auto" w:fill="auto"/>
            <w:noWrap/>
            <w:vAlign w:val="bottom"/>
            <w:hideMark/>
          </w:tcPr>
          <w:p w14:paraId="7646E5DD" w14:textId="77777777" w:rsidR="00603830" w:rsidRPr="00603830" w:rsidRDefault="00603830" w:rsidP="00264C0B">
            <w:pPr>
              <w:ind w:right="6"/>
              <w:rPr>
                <w:rFonts w:asciiTheme="majorHAnsi" w:eastAsia="Times New Roman" w:hAnsiTheme="majorHAnsi" w:cs="Calibri"/>
                <w:color w:val="000000"/>
                <w:lang w:eastAsia="en-GB"/>
              </w:rPr>
            </w:pPr>
            <w:r w:rsidRPr="00603830">
              <w:rPr>
                <w:rFonts w:asciiTheme="majorHAnsi" w:hAnsiTheme="majorHAnsi"/>
              </w:rPr>
              <w:t>Life revision risk represents the risk of loss, or of adverse change in the value of insurance liabilities, resulting from fluctuations in the level, trend, or volatility of the revision rates applied to annuities, due to changes in the legal environment or in the state of health of the person insured.</w:t>
            </w:r>
          </w:p>
        </w:tc>
      </w:tr>
      <w:tr w:rsidR="00603830" w:rsidRPr="00603830" w14:paraId="0CBBBD85" w14:textId="77777777" w:rsidTr="00264C0B">
        <w:trPr>
          <w:trHeight w:val="288"/>
        </w:trPr>
        <w:tc>
          <w:tcPr>
            <w:tcW w:w="1069" w:type="pct"/>
            <w:vMerge/>
            <w:tcBorders>
              <w:top w:val="nil"/>
              <w:left w:val="single" w:sz="4" w:space="0" w:color="auto"/>
              <w:bottom w:val="single" w:sz="4" w:space="0" w:color="auto"/>
              <w:right w:val="single" w:sz="4" w:space="0" w:color="auto"/>
            </w:tcBorders>
            <w:vAlign w:val="center"/>
            <w:hideMark/>
          </w:tcPr>
          <w:p w14:paraId="5FAB2736" w14:textId="77777777" w:rsidR="00603830" w:rsidRPr="00603830" w:rsidRDefault="00603830" w:rsidP="00264C0B">
            <w:pPr>
              <w:ind w:right="6"/>
              <w:rPr>
                <w:rFonts w:asciiTheme="majorHAnsi" w:eastAsia="Times New Roman" w:hAnsiTheme="majorHAnsi" w:cs="Calibri"/>
                <w:b/>
                <w:bCs/>
                <w:color w:val="000000"/>
                <w:lang w:eastAsia="en-GB"/>
              </w:rPr>
            </w:pPr>
          </w:p>
        </w:tc>
        <w:tc>
          <w:tcPr>
            <w:tcW w:w="1006" w:type="pct"/>
            <w:tcBorders>
              <w:top w:val="nil"/>
              <w:left w:val="nil"/>
              <w:bottom w:val="single" w:sz="4" w:space="0" w:color="auto"/>
              <w:right w:val="single" w:sz="4" w:space="0" w:color="auto"/>
            </w:tcBorders>
            <w:shd w:val="clear" w:color="auto" w:fill="auto"/>
            <w:vAlign w:val="center"/>
            <w:hideMark/>
          </w:tcPr>
          <w:p w14:paraId="440C33E9" w14:textId="77777777" w:rsidR="00603830" w:rsidRPr="00603830" w:rsidRDefault="00603830" w:rsidP="00264C0B">
            <w:pPr>
              <w:ind w:right="6"/>
              <w:jc w:val="center"/>
              <w:rPr>
                <w:rFonts w:asciiTheme="majorHAnsi" w:eastAsia="Times New Roman" w:hAnsiTheme="majorHAnsi" w:cs="Calibri"/>
                <w:b/>
                <w:bCs/>
                <w:color w:val="000000"/>
                <w:lang w:eastAsia="en-GB"/>
              </w:rPr>
            </w:pPr>
            <w:r w:rsidRPr="00603830">
              <w:rPr>
                <w:rFonts w:asciiTheme="majorHAnsi" w:eastAsia="Times New Roman" w:hAnsiTheme="majorHAnsi" w:cs="Calibri"/>
                <w:b/>
                <w:bCs/>
                <w:color w:val="000000"/>
                <w:lang w:eastAsia="en-GB"/>
              </w:rPr>
              <w:t>Other Life Underwriting risks including cross-terms</w:t>
            </w:r>
          </w:p>
        </w:tc>
        <w:tc>
          <w:tcPr>
            <w:tcW w:w="2925" w:type="pct"/>
            <w:tcBorders>
              <w:top w:val="nil"/>
              <w:left w:val="nil"/>
              <w:bottom w:val="single" w:sz="4" w:space="0" w:color="auto"/>
              <w:right w:val="single" w:sz="4" w:space="0" w:color="auto"/>
            </w:tcBorders>
            <w:shd w:val="clear" w:color="auto" w:fill="auto"/>
            <w:noWrap/>
            <w:vAlign w:val="bottom"/>
            <w:hideMark/>
          </w:tcPr>
          <w:p w14:paraId="23303DB3" w14:textId="77777777" w:rsidR="00603830" w:rsidRPr="00603830" w:rsidRDefault="00603830" w:rsidP="00264C0B">
            <w:pPr>
              <w:ind w:right="6"/>
              <w:rPr>
                <w:rFonts w:asciiTheme="majorHAnsi" w:eastAsia="Times New Roman" w:hAnsiTheme="majorHAnsi" w:cs="Calibri"/>
                <w:color w:val="000000"/>
                <w:lang w:eastAsia="en-GB"/>
              </w:rPr>
            </w:pPr>
            <w:r w:rsidRPr="00603830">
              <w:rPr>
                <w:rFonts w:asciiTheme="majorHAnsi" w:eastAsia="Times New Roman" w:hAnsiTheme="majorHAnsi" w:cs="Calibri"/>
                <w:color w:val="000000"/>
                <w:lang w:eastAsia="en-GB"/>
              </w:rPr>
              <w:t>This bucket contains any modelled life risk not mentioned above. If the internal model models cross-terms within life risk, they should be added to this bucket.</w:t>
            </w:r>
          </w:p>
        </w:tc>
      </w:tr>
      <w:tr w:rsidR="00603830" w:rsidRPr="00603830" w14:paraId="3ADDD8BF" w14:textId="77777777" w:rsidTr="00264C0B">
        <w:trPr>
          <w:trHeight w:val="288"/>
        </w:trPr>
        <w:tc>
          <w:tcPr>
            <w:tcW w:w="1069" w:type="pct"/>
            <w:vMerge w:val="restart"/>
            <w:tcBorders>
              <w:top w:val="nil"/>
              <w:left w:val="single" w:sz="4" w:space="0" w:color="auto"/>
              <w:bottom w:val="single" w:sz="4" w:space="0" w:color="auto"/>
              <w:right w:val="single" w:sz="4" w:space="0" w:color="auto"/>
            </w:tcBorders>
            <w:shd w:val="clear" w:color="auto" w:fill="auto"/>
            <w:vAlign w:val="center"/>
            <w:hideMark/>
          </w:tcPr>
          <w:p w14:paraId="1962415B" w14:textId="77777777" w:rsidR="00603830" w:rsidRPr="00603830" w:rsidRDefault="00603830" w:rsidP="00264C0B">
            <w:pPr>
              <w:ind w:right="6"/>
              <w:jc w:val="center"/>
              <w:rPr>
                <w:rFonts w:asciiTheme="majorHAnsi" w:eastAsia="Times New Roman" w:hAnsiTheme="majorHAnsi" w:cs="Calibri"/>
                <w:b/>
                <w:bCs/>
                <w:color w:val="000000"/>
                <w:lang w:eastAsia="en-GB"/>
              </w:rPr>
            </w:pPr>
            <w:r w:rsidRPr="00603830">
              <w:rPr>
                <w:rFonts w:asciiTheme="majorHAnsi" w:eastAsia="Times New Roman" w:hAnsiTheme="majorHAnsi" w:cs="Calibri"/>
                <w:b/>
                <w:bCs/>
                <w:color w:val="000000"/>
                <w:lang w:eastAsia="en-GB"/>
              </w:rPr>
              <w:t xml:space="preserve">Standardised Non-Life </w:t>
            </w:r>
            <w:r w:rsidRPr="00603830">
              <w:rPr>
                <w:rFonts w:asciiTheme="majorHAnsi" w:eastAsia="Times New Roman" w:hAnsiTheme="majorHAnsi" w:cs="Calibri"/>
                <w:b/>
                <w:bCs/>
                <w:color w:val="000000"/>
                <w:lang w:eastAsia="en-GB"/>
              </w:rPr>
              <w:br/>
              <w:t>Underwriting Risk</w:t>
            </w:r>
          </w:p>
          <w:p w14:paraId="6971EFB6" w14:textId="77777777" w:rsidR="00603830" w:rsidRPr="00603830" w:rsidRDefault="00603830" w:rsidP="00264C0B">
            <w:pPr>
              <w:ind w:right="6"/>
              <w:jc w:val="center"/>
              <w:rPr>
                <w:rFonts w:asciiTheme="majorHAnsi" w:eastAsia="Times New Roman" w:hAnsiTheme="majorHAnsi" w:cs="Calibri"/>
                <w:b/>
                <w:bCs/>
                <w:color w:val="000000"/>
                <w:lang w:eastAsia="en-GB"/>
              </w:rPr>
            </w:pPr>
            <w:r w:rsidRPr="00603830">
              <w:rPr>
                <w:rFonts w:asciiTheme="majorHAnsi" w:eastAsia="Times New Roman" w:hAnsiTheme="majorHAnsi" w:cs="Calibri"/>
                <w:b/>
                <w:bCs/>
                <w:color w:val="000000"/>
                <w:lang w:eastAsia="en-GB"/>
              </w:rPr>
              <w:t>(incl. inflation risk Non-Life</w:t>
            </w:r>
          </w:p>
          <w:p w14:paraId="53060709" w14:textId="77777777" w:rsidR="00603830" w:rsidRPr="00603830" w:rsidRDefault="00603830" w:rsidP="00264C0B">
            <w:pPr>
              <w:ind w:right="6"/>
              <w:jc w:val="center"/>
              <w:rPr>
                <w:rFonts w:asciiTheme="majorHAnsi" w:eastAsia="Times New Roman" w:hAnsiTheme="majorHAnsi" w:cs="Calibri"/>
                <w:b/>
                <w:bCs/>
                <w:color w:val="000000"/>
                <w:lang w:eastAsia="en-GB"/>
              </w:rPr>
            </w:pPr>
            <w:r w:rsidRPr="00603830">
              <w:rPr>
                <w:rFonts w:asciiTheme="majorHAnsi" w:eastAsia="Times New Roman" w:hAnsiTheme="majorHAnsi" w:cs="Calibri"/>
                <w:b/>
                <w:bCs/>
                <w:color w:val="000000"/>
                <w:lang w:eastAsia="en-GB"/>
              </w:rPr>
              <w:t>(incl. Non-Life annuities))</w:t>
            </w:r>
          </w:p>
        </w:tc>
        <w:tc>
          <w:tcPr>
            <w:tcW w:w="1006" w:type="pct"/>
            <w:tcBorders>
              <w:top w:val="nil"/>
              <w:left w:val="nil"/>
              <w:bottom w:val="single" w:sz="4" w:space="0" w:color="auto"/>
              <w:right w:val="single" w:sz="4" w:space="0" w:color="auto"/>
            </w:tcBorders>
            <w:shd w:val="clear" w:color="auto" w:fill="auto"/>
            <w:vAlign w:val="center"/>
            <w:hideMark/>
          </w:tcPr>
          <w:p w14:paraId="2948D005" w14:textId="77777777" w:rsidR="00603830" w:rsidRPr="00603830" w:rsidRDefault="00603830" w:rsidP="00264C0B">
            <w:pPr>
              <w:ind w:right="6"/>
              <w:jc w:val="center"/>
              <w:rPr>
                <w:rFonts w:asciiTheme="majorHAnsi" w:eastAsia="Times New Roman" w:hAnsiTheme="majorHAnsi" w:cs="Calibri"/>
                <w:b/>
                <w:bCs/>
                <w:color w:val="000000"/>
                <w:highlight w:val="yellow"/>
                <w:lang w:eastAsia="en-GB"/>
              </w:rPr>
            </w:pPr>
            <w:r w:rsidRPr="00603830">
              <w:rPr>
                <w:rFonts w:asciiTheme="majorHAnsi" w:eastAsia="Times New Roman" w:hAnsiTheme="majorHAnsi" w:cs="Calibri"/>
                <w:b/>
                <w:bCs/>
                <w:color w:val="000000"/>
                <w:lang w:eastAsia="en-GB"/>
              </w:rPr>
              <w:t>Non-Life Reserve risk</w:t>
            </w:r>
          </w:p>
        </w:tc>
        <w:tc>
          <w:tcPr>
            <w:tcW w:w="2925" w:type="pct"/>
            <w:tcBorders>
              <w:top w:val="nil"/>
              <w:left w:val="nil"/>
              <w:bottom w:val="single" w:sz="4" w:space="0" w:color="auto"/>
              <w:right w:val="single" w:sz="4" w:space="0" w:color="auto"/>
            </w:tcBorders>
            <w:shd w:val="clear" w:color="auto" w:fill="auto"/>
            <w:noWrap/>
            <w:vAlign w:val="bottom"/>
            <w:hideMark/>
          </w:tcPr>
          <w:p w14:paraId="69610AEF" w14:textId="77777777" w:rsidR="00603830" w:rsidRPr="00603830" w:rsidRDefault="00603830" w:rsidP="00264C0B">
            <w:pPr>
              <w:ind w:right="6"/>
              <w:rPr>
                <w:rFonts w:asciiTheme="majorHAnsi" w:eastAsia="Times New Roman" w:hAnsiTheme="majorHAnsi" w:cs="Calibri"/>
                <w:color w:val="000000"/>
                <w:lang w:eastAsia="en-GB"/>
              </w:rPr>
            </w:pPr>
            <w:r w:rsidRPr="00603830">
              <w:rPr>
                <w:rFonts w:asciiTheme="majorHAnsi" w:eastAsia="Times New Roman" w:hAnsiTheme="majorHAnsi" w:cs="Calibri"/>
                <w:color w:val="000000"/>
                <w:lang w:eastAsia="en-GB"/>
              </w:rPr>
              <w:t xml:space="preserve">Reserve risk is the uncertainty related to past accident years. </w:t>
            </w:r>
          </w:p>
          <w:p w14:paraId="4AED58BA" w14:textId="77777777" w:rsidR="00603830" w:rsidRPr="00603830" w:rsidRDefault="00603830" w:rsidP="00264C0B">
            <w:pPr>
              <w:ind w:right="6"/>
              <w:rPr>
                <w:rFonts w:asciiTheme="majorHAnsi" w:eastAsia="Times New Roman" w:hAnsiTheme="majorHAnsi" w:cs="Calibri"/>
                <w:color w:val="000000"/>
                <w:lang w:eastAsia="en-GB"/>
              </w:rPr>
            </w:pPr>
            <w:r w:rsidRPr="00603830">
              <w:rPr>
                <w:rFonts w:asciiTheme="majorHAnsi" w:eastAsia="Times New Roman" w:hAnsiTheme="majorHAnsi" w:cs="Calibri"/>
                <w:color w:val="000000"/>
                <w:lang w:eastAsia="en-GB"/>
              </w:rPr>
              <w:t>Inflation risks, expenses and life underwriting risks resulting from annuities should be captured here if they result from past claims (incl. IBNR).</w:t>
            </w:r>
          </w:p>
          <w:p w14:paraId="0E71B29D" w14:textId="77777777" w:rsidR="00603830" w:rsidRPr="00603830" w:rsidRDefault="00603830" w:rsidP="00264C0B">
            <w:pPr>
              <w:ind w:right="6"/>
              <w:rPr>
                <w:rFonts w:asciiTheme="majorHAnsi" w:eastAsia="Times New Roman" w:hAnsiTheme="majorHAnsi" w:cs="Calibri"/>
                <w:color w:val="000000"/>
                <w:highlight w:val="yellow"/>
                <w:lang w:eastAsia="en-GB"/>
              </w:rPr>
            </w:pPr>
            <w:r w:rsidRPr="00603830">
              <w:rPr>
                <w:rFonts w:asciiTheme="majorHAnsi" w:eastAsia="Times New Roman" w:hAnsiTheme="majorHAnsi" w:cs="Calibri"/>
                <w:color w:val="000000"/>
                <w:lang w:eastAsia="en-GB"/>
              </w:rPr>
              <w:t xml:space="preserve"> For undertakings which use a model based on underwriting years, only the earned reserve risk should be considered here.</w:t>
            </w:r>
            <w:r w:rsidRPr="00603830">
              <w:rPr>
                <w:rFonts w:asciiTheme="majorHAnsi" w:eastAsia="Times New Roman" w:hAnsiTheme="majorHAnsi" w:cs="Calibri"/>
                <w:color w:val="000000"/>
                <w:highlight w:val="yellow"/>
                <w:lang w:eastAsia="en-GB"/>
              </w:rPr>
              <w:t xml:space="preserve"> </w:t>
            </w:r>
          </w:p>
        </w:tc>
      </w:tr>
      <w:tr w:rsidR="00603830" w:rsidRPr="00603830" w14:paraId="557DF0DD" w14:textId="77777777" w:rsidTr="00264C0B">
        <w:trPr>
          <w:trHeight w:val="288"/>
        </w:trPr>
        <w:tc>
          <w:tcPr>
            <w:tcW w:w="1069" w:type="pct"/>
            <w:vMerge/>
            <w:tcBorders>
              <w:top w:val="nil"/>
              <w:left w:val="single" w:sz="4" w:space="0" w:color="auto"/>
              <w:bottom w:val="single" w:sz="4" w:space="0" w:color="auto"/>
              <w:right w:val="single" w:sz="4" w:space="0" w:color="auto"/>
            </w:tcBorders>
            <w:vAlign w:val="center"/>
            <w:hideMark/>
          </w:tcPr>
          <w:p w14:paraId="6BD0FB90" w14:textId="77777777" w:rsidR="00603830" w:rsidRPr="00603830" w:rsidRDefault="00603830" w:rsidP="00264C0B">
            <w:pPr>
              <w:ind w:right="6"/>
              <w:rPr>
                <w:rFonts w:asciiTheme="majorHAnsi" w:eastAsia="Times New Roman" w:hAnsiTheme="majorHAnsi" w:cs="Calibri"/>
                <w:b/>
                <w:bCs/>
                <w:color w:val="000000"/>
                <w:lang w:eastAsia="en-GB"/>
              </w:rPr>
            </w:pPr>
          </w:p>
        </w:tc>
        <w:tc>
          <w:tcPr>
            <w:tcW w:w="1006" w:type="pct"/>
            <w:tcBorders>
              <w:top w:val="nil"/>
              <w:left w:val="nil"/>
              <w:bottom w:val="single" w:sz="4" w:space="0" w:color="auto"/>
              <w:right w:val="single" w:sz="4" w:space="0" w:color="auto"/>
            </w:tcBorders>
            <w:shd w:val="clear" w:color="auto" w:fill="auto"/>
            <w:vAlign w:val="center"/>
            <w:hideMark/>
          </w:tcPr>
          <w:p w14:paraId="4B4FBDE5" w14:textId="77777777" w:rsidR="00603830" w:rsidRPr="00603830" w:rsidRDefault="00603830" w:rsidP="00264C0B">
            <w:pPr>
              <w:ind w:right="6"/>
              <w:jc w:val="center"/>
              <w:rPr>
                <w:rFonts w:asciiTheme="majorHAnsi" w:eastAsia="Times New Roman" w:hAnsiTheme="majorHAnsi" w:cs="Calibri"/>
                <w:b/>
                <w:bCs/>
                <w:color w:val="000000"/>
                <w:lang w:eastAsia="en-GB"/>
              </w:rPr>
            </w:pPr>
            <w:r w:rsidRPr="00603830">
              <w:rPr>
                <w:rFonts w:asciiTheme="majorHAnsi" w:eastAsia="Times New Roman" w:hAnsiTheme="majorHAnsi" w:cs="Calibri"/>
                <w:b/>
                <w:bCs/>
                <w:color w:val="000000"/>
                <w:lang w:eastAsia="en-GB"/>
              </w:rPr>
              <w:t>Non-Life Premium risk (incl. Man-Made CAT)</w:t>
            </w:r>
          </w:p>
        </w:tc>
        <w:tc>
          <w:tcPr>
            <w:tcW w:w="2925" w:type="pct"/>
            <w:tcBorders>
              <w:top w:val="nil"/>
              <w:left w:val="nil"/>
              <w:bottom w:val="single" w:sz="4" w:space="0" w:color="auto"/>
              <w:right w:val="single" w:sz="4" w:space="0" w:color="auto"/>
            </w:tcBorders>
            <w:shd w:val="clear" w:color="auto" w:fill="auto"/>
            <w:noWrap/>
            <w:vAlign w:val="bottom"/>
          </w:tcPr>
          <w:p w14:paraId="4D34DA53" w14:textId="77777777" w:rsidR="00603830" w:rsidRPr="00603830" w:rsidRDefault="00603830" w:rsidP="00264C0B">
            <w:pPr>
              <w:ind w:right="6"/>
              <w:rPr>
                <w:rFonts w:asciiTheme="majorHAnsi" w:eastAsia="Times New Roman" w:hAnsiTheme="majorHAnsi" w:cs="Calibri"/>
                <w:color w:val="000000"/>
                <w:lang w:eastAsia="en-GB"/>
              </w:rPr>
            </w:pPr>
            <w:r w:rsidRPr="00603830">
              <w:rPr>
                <w:rFonts w:asciiTheme="majorHAnsi" w:eastAsia="Times New Roman" w:hAnsiTheme="majorHAnsi" w:cs="Calibri"/>
                <w:color w:val="000000"/>
                <w:lang w:eastAsia="en-GB"/>
              </w:rPr>
              <w:t xml:space="preserve">Premium risk is the uncertainty related to future accident years. </w:t>
            </w:r>
          </w:p>
          <w:p w14:paraId="7FA87DB6" w14:textId="77777777" w:rsidR="00603830" w:rsidRPr="00603830" w:rsidRDefault="00603830" w:rsidP="00264C0B">
            <w:pPr>
              <w:ind w:right="6"/>
              <w:rPr>
                <w:rFonts w:asciiTheme="majorHAnsi" w:eastAsia="Times New Roman" w:hAnsiTheme="majorHAnsi" w:cs="Calibri"/>
                <w:color w:val="000000"/>
                <w:lang w:eastAsia="en-GB"/>
              </w:rPr>
            </w:pPr>
            <w:r w:rsidRPr="00603830">
              <w:rPr>
                <w:rFonts w:asciiTheme="majorHAnsi" w:eastAsia="Times New Roman" w:hAnsiTheme="majorHAnsi" w:cs="Calibri"/>
                <w:color w:val="000000"/>
                <w:lang w:eastAsia="en-GB"/>
              </w:rPr>
              <w:t>Man-made catastrophe risk, inflation risks, expenses and life underwriting risks resulting from annuities should be captured here if they result from future claims (incl. UPR and BBNI).</w:t>
            </w:r>
          </w:p>
          <w:p w14:paraId="7DEBADF8" w14:textId="77777777" w:rsidR="00603830" w:rsidRPr="00603830" w:rsidRDefault="00603830" w:rsidP="00264C0B">
            <w:pPr>
              <w:ind w:right="6"/>
              <w:rPr>
                <w:rFonts w:asciiTheme="majorHAnsi" w:eastAsia="Times New Roman" w:hAnsiTheme="majorHAnsi" w:cs="Calibri"/>
                <w:color w:val="000000"/>
                <w:lang w:eastAsia="en-GB"/>
              </w:rPr>
            </w:pPr>
            <w:r w:rsidRPr="00603830">
              <w:rPr>
                <w:rFonts w:asciiTheme="majorHAnsi" w:eastAsia="Times New Roman" w:hAnsiTheme="majorHAnsi" w:cs="Calibri"/>
                <w:color w:val="000000"/>
                <w:lang w:eastAsia="en-GB"/>
              </w:rPr>
              <w:t xml:space="preserve">For undertakings which use a model based on underwriting years, the unearned reserve risk and underwriting risk should be considered here. </w:t>
            </w:r>
          </w:p>
        </w:tc>
      </w:tr>
      <w:tr w:rsidR="00603830" w:rsidRPr="00603830" w14:paraId="73C5EF3F" w14:textId="77777777" w:rsidTr="00264C0B">
        <w:trPr>
          <w:trHeight w:val="288"/>
        </w:trPr>
        <w:tc>
          <w:tcPr>
            <w:tcW w:w="1069" w:type="pct"/>
            <w:vMerge/>
            <w:tcBorders>
              <w:top w:val="nil"/>
              <w:left w:val="single" w:sz="4" w:space="0" w:color="auto"/>
              <w:bottom w:val="single" w:sz="4" w:space="0" w:color="auto"/>
              <w:right w:val="single" w:sz="4" w:space="0" w:color="auto"/>
            </w:tcBorders>
            <w:vAlign w:val="center"/>
            <w:hideMark/>
          </w:tcPr>
          <w:p w14:paraId="5B8E2C2B" w14:textId="77777777" w:rsidR="00603830" w:rsidRPr="00603830" w:rsidRDefault="00603830" w:rsidP="00264C0B">
            <w:pPr>
              <w:ind w:right="6"/>
              <w:rPr>
                <w:rFonts w:asciiTheme="majorHAnsi" w:eastAsia="Times New Roman" w:hAnsiTheme="majorHAnsi" w:cs="Calibri"/>
                <w:b/>
                <w:bCs/>
                <w:color w:val="000000"/>
                <w:lang w:eastAsia="en-GB"/>
              </w:rPr>
            </w:pPr>
          </w:p>
        </w:tc>
        <w:tc>
          <w:tcPr>
            <w:tcW w:w="1006" w:type="pct"/>
            <w:tcBorders>
              <w:top w:val="nil"/>
              <w:left w:val="nil"/>
              <w:bottom w:val="single" w:sz="4" w:space="0" w:color="auto"/>
              <w:right w:val="single" w:sz="4" w:space="0" w:color="auto"/>
            </w:tcBorders>
            <w:shd w:val="clear" w:color="auto" w:fill="auto"/>
            <w:vAlign w:val="center"/>
            <w:hideMark/>
          </w:tcPr>
          <w:p w14:paraId="78415E4F" w14:textId="77777777" w:rsidR="00603830" w:rsidRPr="00603830" w:rsidRDefault="00603830" w:rsidP="00264C0B">
            <w:pPr>
              <w:ind w:right="6"/>
              <w:jc w:val="center"/>
              <w:rPr>
                <w:rFonts w:asciiTheme="majorHAnsi" w:eastAsia="Times New Roman" w:hAnsiTheme="majorHAnsi" w:cs="Calibri"/>
                <w:b/>
                <w:bCs/>
                <w:color w:val="000000"/>
                <w:lang w:eastAsia="en-GB"/>
              </w:rPr>
            </w:pPr>
            <w:r w:rsidRPr="00603830">
              <w:rPr>
                <w:rFonts w:asciiTheme="majorHAnsi" w:eastAsia="Times New Roman" w:hAnsiTheme="majorHAnsi" w:cs="Calibri"/>
                <w:b/>
                <w:bCs/>
                <w:color w:val="000000"/>
                <w:lang w:eastAsia="en-GB"/>
              </w:rPr>
              <w:t>Natural Catastrophe risk</w:t>
            </w:r>
          </w:p>
        </w:tc>
        <w:tc>
          <w:tcPr>
            <w:tcW w:w="2925" w:type="pct"/>
            <w:tcBorders>
              <w:top w:val="nil"/>
              <w:left w:val="nil"/>
              <w:bottom w:val="single" w:sz="4" w:space="0" w:color="auto"/>
              <w:right w:val="single" w:sz="4" w:space="0" w:color="auto"/>
            </w:tcBorders>
            <w:shd w:val="clear" w:color="auto" w:fill="auto"/>
            <w:noWrap/>
            <w:vAlign w:val="bottom"/>
            <w:hideMark/>
          </w:tcPr>
          <w:p w14:paraId="7ECC0417" w14:textId="77777777" w:rsidR="00603830" w:rsidRPr="00603830" w:rsidRDefault="00603830" w:rsidP="00264C0B">
            <w:pPr>
              <w:ind w:right="6"/>
              <w:rPr>
                <w:rFonts w:asciiTheme="majorHAnsi" w:eastAsia="Times New Roman" w:hAnsiTheme="majorHAnsi" w:cs="Calibri"/>
                <w:color w:val="000000"/>
                <w:lang w:eastAsia="en-GB"/>
              </w:rPr>
            </w:pPr>
            <w:r w:rsidRPr="00603830">
              <w:rPr>
                <w:rFonts w:asciiTheme="majorHAnsi" w:eastAsia="Times New Roman" w:hAnsiTheme="majorHAnsi" w:cs="Calibri"/>
                <w:color w:val="000000"/>
                <w:lang w:eastAsia="en-GB"/>
              </w:rPr>
              <w:t>Natural catastrophe risk refers to the risk of loss, or of adverse change in the value of insurance liabilities, resulting from significant uncertainty of pricing and provisioning assumptions related to extreme or exceptional natural events</w:t>
            </w:r>
          </w:p>
        </w:tc>
      </w:tr>
      <w:tr w:rsidR="00603830" w:rsidRPr="00603830" w14:paraId="387D6357" w14:textId="77777777" w:rsidTr="00264C0B">
        <w:trPr>
          <w:trHeight w:val="288"/>
        </w:trPr>
        <w:tc>
          <w:tcPr>
            <w:tcW w:w="1069" w:type="pct"/>
            <w:vMerge/>
            <w:tcBorders>
              <w:top w:val="nil"/>
              <w:left w:val="single" w:sz="4" w:space="0" w:color="auto"/>
              <w:bottom w:val="single" w:sz="4" w:space="0" w:color="auto"/>
              <w:right w:val="single" w:sz="4" w:space="0" w:color="auto"/>
            </w:tcBorders>
            <w:vAlign w:val="center"/>
            <w:hideMark/>
          </w:tcPr>
          <w:p w14:paraId="0B783EB3" w14:textId="77777777" w:rsidR="00603830" w:rsidRPr="00603830" w:rsidRDefault="00603830" w:rsidP="00264C0B">
            <w:pPr>
              <w:ind w:right="6"/>
              <w:rPr>
                <w:rFonts w:asciiTheme="majorHAnsi" w:eastAsia="Times New Roman" w:hAnsiTheme="majorHAnsi" w:cs="Calibri"/>
                <w:b/>
                <w:bCs/>
                <w:color w:val="000000"/>
                <w:lang w:eastAsia="en-GB"/>
              </w:rPr>
            </w:pPr>
          </w:p>
        </w:tc>
        <w:tc>
          <w:tcPr>
            <w:tcW w:w="1006" w:type="pct"/>
            <w:tcBorders>
              <w:top w:val="nil"/>
              <w:left w:val="nil"/>
              <w:bottom w:val="single" w:sz="4" w:space="0" w:color="auto"/>
              <w:right w:val="single" w:sz="4" w:space="0" w:color="auto"/>
            </w:tcBorders>
            <w:shd w:val="clear" w:color="auto" w:fill="auto"/>
            <w:vAlign w:val="center"/>
            <w:hideMark/>
          </w:tcPr>
          <w:p w14:paraId="1F0A016B" w14:textId="77777777" w:rsidR="00603830" w:rsidRPr="00603830" w:rsidRDefault="00603830" w:rsidP="00264C0B">
            <w:pPr>
              <w:ind w:right="6"/>
              <w:jc w:val="center"/>
              <w:rPr>
                <w:rFonts w:asciiTheme="majorHAnsi" w:eastAsia="Times New Roman" w:hAnsiTheme="majorHAnsi" w:cs="Calibri"/>
                <w:b/>
                <w:bCs/>
                <w:color w:val="000000"/>
                <w:lang w:eastAsia="en-GB"/>
              </w:rPr>
            </w:pPr>
            <w:r w:rsidRPr="00603830">
              <w:rPr>
                <w:rFonts w:asciiTheme="majorHAnsi" w:eastAsia="Times New Roman" w:hAnsiTheme="majorHAnsi" w:cs="Calibri"/>
                <w:b/>
                <w:bCs/>
                <w:color w:val="000000"/>
                <w:lang w:eastAsia="en-GB"/>
              </w:rPr>
              <w:t>Overhead expense risk Non-Life Liabilities</w:t>
            </w:r>
          </w:p>
        </w:tc>
        <w:tc>
          <w:tcPr>
            <w:tcW w:w="2925" w:type="pct"/>
            <w:tcBorders>
              <w:top w:val="nil"/>
              <w:left w:val="nil"/>
              <w:bottom w:val="single" w:sz="4" w:space="0" w:color="auto"/>
              <w:right w:val="single" w:sz="4" w:space="0" w:color="auto"/>
            </w:tcBorders>
            <w:shd w:val="clear" w:color="auto" w:fill="auto"/>
            <w:noWrap/>
            <w:vAlign w:val="bottom"/>
            <w:hideMark/>
          </w:tcPr>
          <w:p w14:paraId="5DE515AD" w14:textId="77777777" w:rsidR="00603830" w:rsidRPr="00603830" w:rsidRDefault="00603830" w:rsidP="00264C0B">
            <w:pPr>
              <w:ind w:right="6"/>
              <w:rPr>
                <w:rFonts w:asciiTheme="majorHAnsi" w:eastAsia="Times New Roman" w:hAnsiTheme="majorHAnsi" w:cs="Calibri"/>
                <w:color w:val="000000"/>
                <w:lang w:eastAsia="en-GB"/>
              </w:rPr>
            </w:pPr>
            <w:r w:rsidRPr="00603830">
              <w:rPr>
                <w:rFonts w:asciiTheme="majorHAnsi" w:eastAsia="Times New Roman" w:hAnsiTheme="majorHAnsi" w:cs="Calibri"/>
                <w:color w:val="000000"/>
                <w:lang w:eastAsia="en-GB"/>
              </w:rPr>
              <w:t>Overhead expenses modelled on an aggregate level (across all S2LoBs) within the Non-Life underwriting risk which are not already captured within premium and reserve risk.</w:t>
            </w:r>
          </w:p>
        </w:tc>
      </w:tr>
      <w:tr w:rsidR="00603830" w:rsidRPr="00603830" w14:paraId="00FCF9FD" w14:textId="77777777" w:rsidTr="00264C0B">
        <w:trPr>
          <w:trHeight w:val="288"/>
        </w:trPr>
        <w:tc>
          <w:tcPr>
            <w:tcW w:w="1069" w:type="pct"/>
            <w:vMerge/>
            <w:tcBorders>
              <w:top w:val="nil"/>
              <w:left w:val="single" w:sz="4" w:space="0" w:color="auto"/>
              <w:bottom w:val="single" w:sz="4" w:space="0" w:color="auto"/>
              <w:right w:val="single" w:sz="4" w:space="0" w:color="auto"/>
            </w:tcBorders>
            <w:vAlign w:val="center"/>
            <w:hideMark/>
          </w:tcPr>
          <w:p w14:paraId="3D58E41C" w14:textId="77777777" w:rsidR="00603830" w:rsidRPr="00603830" w:rsidRDefault="00603830" w:rsidP="00264C0B">
            <w:pPr>
              <w:ind w:right="6"/>
              <w:rPr>
                <w:rFonts w:asciiTheme="majorHAnsi" w:eastAsia="Times New Roman" w:hAnsiTheme="majorHAnsi" w:cs="Calibri"/>
                <w:b/>
                <w:bCs/>
                <w:color w:val="000000"/>
                <w:lang w:eastAsia="en-GB"/>
              </w:rPr>
            </w:pPr>
          </w:p>
        </w:tc>
        <w:tc>
          <w:tcPr>
            <w:tcW w:w="1006" w:type="pct"/>
            <w:tcBorders>
              <w:top w:val="nil"/>
              <w:left w:val="nil"/>
              <w:bottom w:val="single" w:sz="4" w:space="0" w:color="auto"/>
              <w:right w:val="single" w:sz="4" w:space="0" w:color="auto"/>
            </w:tcBorders>
            <w:shd w:val="clear" w:color="auto" w:fill="auto"/>
            <w:vAlign w:val="center"/>
            <w:hideMark/>
          </w:tcPr>
          <w:p w14:paraId="1633E868" w14:textId="77777777" w:rsidR="00603830" w:rsidRPr="00603830" w:rsidRDefault="00603830" w:rsidP="00264C0B">
            <w:pPr>
              <w:ind w:right="6"/>
              <w:jc w:val="center"/>
              <w:rPr>
                <w:rFonts w:asciiTheme="majorHAnsi" w:eastAsia="Times New Roman" w:hAnsiTheme="majorHAnsi" w:cs="Calibri"/>
                <w:b/>
                <w:bCs/>
                <w:color w:val="000000"/>
                <w:lang w:eastAsia="en-GB"/>
              </w:rPr>
            </w:pPr>
            <w:r w:rsidRPr="00603830">
              <w:rPr>
                <w:rFonts w:asciiTheme="majorHAnsi" w:eastAsia="Times New Roman" w:hAnsiTheme="majorHAnsi" w:cs="Calibri"/>
                <w:b/>
                <w:bCs/>
                <w:color w:val="000000"/>
                <w:lang w:eastAsia="en-GB"/>
              </w:rPr>
              <w:t>Other Non-Life Underwriting risks</w:t>
            </w:r>
          </w:p>
        </w:tc>
        <w:tc>
          <w:tcPr>
            <w:tcW w:w="2925" w:type="pct"/>
            <w:tcBorders>
              <w:top w:val="nil"/>
              <w:left w:val="nil"/>
              <w:bottom w:val="single" w:sz="4" w:space="0" w:color="auto"/>
              <w:right w:val="single" w:sz="4" w:space="0" w:color="auto"/>
            </w:tcBorders>
            <w:shd w:val="clear" w:color="auto" w:fill="auto"/>
            <w:noWrap/>
            <w:vAlign w:val="bottom"/>
            <w:hideMark/>
          </w:tcPr>
          <w:p w14:paraId="60679647" w14:textId="77777777" w:rsidR="00603830" w:rsidRPr="00603830" w:rsidRDefault="00603830" w:rsidP="00264C0B">
            <w:pPr>
              <w:ind w:right="6"/>
              <w:rPr>
                <w:rFonts w:asciiTheme="majorHAnsi" w:eastAsia="Times New Roman" w:hAnsiTheme="majorHAnsi" w:cs="Calibri"/>
                <w:color w:val="000000"/>
                <w:lang w:eastAsia="en-GB"/>
              </w:rPr>
            </w:pPr>
            <w:r w:rsidRPr="00603830">
              <w:rPr>
                <w:rFonts w:asciiTheme="majorHAnsi" w:eastAsia="Times New Roman" w:hAnsiTheme="majorHAnsi" w:cs="Calibri"/>
                <w:color w:val="000000"/>
                <w:lang w:eastAsia="en-GB"/>
              </w:rPr>
              <w:t> This bucket should contain any modelled non-life risk not mentioned above. If the internal model models cross-terms within non-life risk, they should be added to this bucket.</w:t>
            </w:r>
          </w:p>
        </w:tc>
      </w:tr>
      <w:tr w:rsidR="00603830" w:rsidRPr="00603830" w14:paraId="220DE222" w14:textId="77777777" w:rsidTr="00264C0B">
        <w:trPr>
          <w:trHeight w:val="288"/>
        </w:trPr>
        <w:tc>
          <w:tcPr>
            <w:tcW w:w="1069" w:type="pct"/>
            <w:vMerge w:val="restart"/>
            <w:tcBorders>
              <w:top w:val="nil"/>
              <w:left w:val="single" w:sz="4" w:space="0" w:color="auto"/>
              <w:bottom w:val="single" w:sz="4" w:space="0" w:color="auto"/>
              <w:right w:val="single" w:sz="4" w:space="0" w:color="auto"/>
            </w:tcBorders>
            <w:shd w:val="clear" w:color="auto" w:fill="auto"/>
            <w:vAlign w:val="center"/>
            <w:hideMark/>
          </w:tcPr>
          <w:p w14:paraId="040F0A5F" w14:textId="77777777" w:rsidR="00603830" w:rsidRPr="00603830" w:rsidRDefault="00603830" w:rsidP="00264C0B">
            <w:pPr>
              <w:ind w:right="6"/>
              <w:jc w:val="center"/>
              <w:rPr>
                <w:rFonts w:asciiTheme="majorHAnsi" w:eastAsia="Times New Roman" w:hAnsiTheme="majorHAnsi" w:cs="Calibri"/>
                <w:b/>
                <w:bCs/>
                <w:color w:val="000000"/>
                <w:lang w:eastAsia="en-GB"/>
              </w:rPr>
            </w:pPr>
            <w:r w:rsidRPr="00603830">
              <w:rPr>
                <w:rFonts w:asciiTheme="majorHAnsi" w:eastAsia="Times New Roman" w:hAnsiTheme="majorHAnsi" w:cs="Calibri"/>
                <w:b/>
                <w:bCs/>
                <w:color w:val="000000"/>
                <w:lang w:eastAsia="en-GB"/>
              </w:rPr>
              <w:t xml:space="preserve">Standardised Health </w:t>
            </w:r>
            <w:r w:rsidRPr="00603830">
              <w:rPr>
                <w:rFonts w:asciiTheme="majorHAnsi" w:eastAsia="Times New Roman" w:hAnsiTheme="majorHAnsi" w:cs="Calibri"/>
                <w:b/>
                <w:bCs/>
                <w:color w:val="000000"/>
                <w:lang w:eastAsia="en-GB"/>
              </w:rPr>
              <w:br/>
              <w:t>Underwriting Risk</w:t>
            </w:r>
          </w:p>
          <w:p w14:paraId="500D9F7A" w14:textId="77777777" w:rsidR="00603830" w:rsidRPr="00603830" w:rsidRDefault="00603830" w:rsidP="00264C0B">
            <w:pPr>
              <w:ind w:right="6"/>
              <w:jc w:val="center"/>
              <w:rPr>
                <w:rFonts w:asciiTheme="majorHAnsi" w:eastAsia="Times New Roman" w:hAnsiTheme="majorHAnsi" w:cs="Calibri"/>
                <w:color w:val="000000"/>
                <w:lang w:eastAsia="en-GB"/>
              </w:rPr>
            </w:pPr>
            <w:r w:rsidRPr="00603830">
              <w:rPr>
                <w:rFonts w:asciiTheme="majorHAnsi" w:eastAsia="Times New Roman" w:hAnsiTheme="majorHAnsi" w:cs="Calibri"/>
                <w:b/>
                <w:bCs/>
                <w:color w:val="000000"/>
                <w:lang w:eastAsia="en-GB"/>
              </w:rPr>
              <w:t>(incl. Inflation risk Health</w:t>
            </w:r>
            <w:r w:rsidRPr="00603830">
              <w:rPr>
                <w:rFonts w:asciiTheme="majorHAnsi" w:eastAsia="Times New Roman" w:hAnsiTheme="majorHAnsi" w:cs="Calibri"/>
                <w:color w:val="000000"/>
                <w:lang w:eastAsia="en-GB"/>
              </w:rPr>
              <w:t>)</w:t>
            </w:r>
          </w:p>
        </w:tc>
        <w:tc>
          <w:tcPr>
            <w:tcW w:w="1006" w:type="pct"/>
            <w:tcBorders>
              <w:top w:val="nil"/>
              <w:left w:val="nil"/>
              <w:bottom w:val="single" w:sz="4" w:space="0" w:color="auto"/>
              <w:right w:val="single" w:sz="4" w:space="0" w:color="auto"/>
            </w:tcBorders>
            <w:shd w:val="clear" w:color="auto" w:fill="auto"/>
            <w:vAlign w:val="center"/>
            <w:hideMark/>
          </w:tcPr>
          <w:p w14:paraId="35ABDCCD" w14:textId="77777777" w:rsidR="00603830" w:rsidRPr="00603830" w:rsidRDefault="00603830" w:rsidP="00264C0B">
            <w:pPr>
              <w:ind w:right="6"/>
              <w:jc w:val="center"/>
              <w:rPr>
                <w:rFonts w:asciiTheme="majorHAnsi" w:eastAsia="Times New Roman" w:hAnsiTheme="majorHAnsi" w:cs="Calibri"/>
                <w:b/>
                <w:bCs/>
                <w:color w:val="000000"/>
                <w:lang w:eastAsia="en-GB"/>
              </w:rPr>
            </w:pPr>
            <w:r w:rsidRPr="00603830">
              <w:rPr>
                <w:rFonts w:asciiTheme="majorHAnsi" w:eastAsia="Times New Roman" w:hAnsiTheme="majorHAnsi" w:cs="Calibri"/>
                <w:b/>
                <w:bCs/>
                <w:color w:val="000000"/>
                <w:lang w:eastAsia="en-GB"/>
              </w:rPr>
              <w:t>Health NSLT Reserve risk</w:t>
            </w:r>
          </w:p>
        </w:tc>
        <w:tc>
          <w:tcPr>
            <w:tcW w:w="2925" w:type="pct"/>
            <w:tcBorders>
              <w:top w:val="nil"/>
              <w:left w:val="nil"/>
              <w:bottom w:val="single" w:sz="4" w:space="0" w:color="auto"/>
              <w:right w:val="single" w:sz="4" w:space="0" w:color="auto"/>
            </w:tcBorders>
            <w:shd w:val="clear" w:color="auto" w:fill="auto"/>
            <w:noWrap/>
            <w:vAlign w:val="bottom"/>
            <w:hideMark/>
          </w:tcPr>
          <w:p w14:paraId="1D427805" w14:textId="77777777" w:rsidR="00603830" w:rsidRPr="00603830" w:rsidRDefault="00603830" w:rsidP="00264C0B">
            <w:pPr>
              <w:ind w:right="6"/>
              <w:rPr>
                <w:rFonts w:asciiTheme="majorHAnsi" w:eastAsia="Times New Roman" w:hAnsiTheme="majorHAnsi" w:cs="Calibri"/>
                <w:color w:val="000000"/>
                <w:lang w:eastAsia="en-GB"/>
              </w:rPr>
            </w:pPr>
            <w:r w:rsidRPr="00603830">
              <w:rPr>
                <w:rFonts w:asciiTheme="majorHAnsi" w:eastAsia="Times New Roman" w:hAnsiTheme="majorHAnsi" w:cs="Calibri"/>
                <w:color w:val="000000"/>
                <w:lang w:eastAsia="en-GB"/>
              </w:rPr>
              <w:t xml:space="preserve">Reserve risk is the uncertainty related to past accident years. </w:t>
            </w:r>
          </w:p>
          <w:p w14:paraId="1A031F9A" w14:textId="77777777" w:rsidR="00603830" w:rsidRPr="00603830" w:rsidRDefault="00603830" w:rsidP="00264C0B">
            <w:pPr>
              <w:ind w:right="6"/>
              <w:rPr>
                <w:rFonts w:asciiTheme="majorHAnsi" w:eastAsia="Times New Roman" w:hAnsiTheme="majorHAnsi" w:cs="Calibri"/>
                <w:color w:val="000000"/>
                <w:lang w:eastAsia="en-GB"/>
              </w:rPr>
            </w:pPr>
            <w:r w:rsidRPr="00603830">
              <w:rPr>
                <w:rFonts w:asciiTheme="majorHAnsi" w:eastAsia="Times New Roman" w:hAnsiTheme="majorHAnsi" w:cs="Calibri"/>
                <w:color w:val="000000"/>
                <w:lang w:eastAsia="en-GB"/>
              </w:rPr>
              <w:t>Inflation risks, expenses and life underwriting risks resulting from annuities should be captured here if they result from past claims (incl. IBNR).</w:t>
            </w:r>
          </w:p>
          <w:p w14:paraId="04E00AE0" w14:textId="77777777" w:rsidR="00603830" w:rsidRPr="00603830" w:rsidRDefault="00603830" w:rsidP="00264C0B">
            <w:pPr>
              <w:ind w:right="6"/>
              <w:rPr>
                <w:rFonts w:asciiTheme="majorHAnsi" w:eastAsia="Times New Roman" w:hAnsiTheme="majorHAnsi" w:cs="Calibri"/>
                <w:color w:val="000000"/>
                <w:lang w:eastAsia="en-GB"/>
              </w:rPr>
            </w:pPr>
            <w:r w:rsidRPr="00603830">
              <w:rPr>
                <w:rFonts w:asciiTheme="majorHAnsi" w:eastAsia="Times New Roman" w:hAnsiTheme="majorHAnsi" w:cs="Calibri"/>
                <w:color w:val="000000"/>
                <w:lang w:eastAsia="en-GB"/>
              </w:rPr>
              <w:t xml:space="preserve">For undertakings which use a model based on underwriting years, only the earned reserve risk should be considered here. </w:t>
            </w:r>
          </w:p>
        </w:tc>
      </w:tr>
      <w:tr w:rsidR="00603830" w:rsidRPr="00603830" w14:paraId="27E669CE" w14:textId="77777777" w:rsidTr="00264C0B">
        <w:trPr>
          <w:trHeight w:val="288"/>
        </w:trPr>
        <w:tc>
          <w:tcPr>
            <w:tcW w:w="1069" w:type="pct"/>
            <w:vMerge/>
            <w:tcBorders>
              <w:top w:val="nil"/>
              <w:left w:val="single" w:sz="4" w:space="0" w:color="auto"/>
              <w:bottom w:val="single" w:sz="4" w:space="0" w:color="auto"/>
              <w:right w:val="single" w:sz="4" w:space="0" w:color="auto"/>
            </w:tcBorders>
            <w:vAlign w:val="center"/>
            <w:hideMark/>
          </w:tcPr>
          <w:p w14:paraId="09A8F305" w14:textId="77777777" w:rsidR="00603830" w:rsidRPr="00603830" w:rsidRDefault="00603830" w:rsidP="00264C0B">
            <w:pPr>
              <w:ind w:right="6"/>
              <w:rPr>
                <w:rFonts w:asciiTheme="majorHAnsi" w:eastAsia="Times New Roman" w:hAnsiTheme="majorHAnsi" w:cs="Calibri"/>
                <w:b/>
                <w:bCs/>
                <w:color w:val="000000"/>
                <w:lang w:eastAsia="en-GB"/>
              </w:rPr>
            </w:pPr>
          </w:p>
        </w:tc>
        <w:tc>
          <w:tcPr>
            <w:tcW w:w="1006" w:type="pct"/>
            <w:tcBorders>
              <w:top w:val="nil"/>
              <w:left w:val="nil"/>
              <w:bottom w:val="single" w:sz="4" w:space="0" w:color="auto"/>
              <w:right w:val="single" w:sz="4" w:space="0" w:color="auto"/>
            </w:tcBorders>
            <w:shd w:val="clear" w:color="auto" w:fill="auto"/>
            <w:vAlign w:val="center"/>
            <w:hideMark/>
          </w:tcPr>
          <w:p w14:paraId="317FB0ED" w14:textId="77777777" w:rsidR="00603830" w:rsidRPr="00603830" w:rsidRDefault="00603830" w:rsidP="00264C0B">
            <w:pPr>
              <w:ind w:right="6"/>
              <w:jc w:val="center"/>
              <w:rPr>
                <w:rFonts w:asciiTheme="majorHAnsi" w:eastAsia="Times New Roman" w:hAnsiTheme="majorHAnsi" w:cs="Calibri"/>
                <w:b/>
                <w:bCs/>
                <w:color w:val="000000"/>
                <w:highlight w:val="yellow"/>
                <w:lang w:eastAsia="en-GB"/>
              </w:rPr>
            </w:pPr>
            <w:r w:rsidRPr="00603830">
              <w:rPr>
                <w:rFonts w:asciiTheme="majorHAnsi" w:eastAsia="Times New Roman" w:hAnsiTheme="majorHAnsi" w:cs="Calibri"/>
                <w:b/>
                <w:bCs/>
                <w:color w:val="000000"/>
                <w:lang w:eastAsia="en-GB"/>
              </w:rPr>
              <w:t>Health NSLT Premium risk (incl. Man-Made CAT)</w:t>
            </w:r>
          </w:p>
        </w:tc>
        <w:tc>
          <w:tcPr>
            <w:tcW w:w="2925" w:type="pct"/>
            <w:tcBorders>
              <w:top w:val="nil"/>
              <w:left w:val="nil"/>
              <w:bottom w:val="single" w:sz="4" w:space="0" w:color="auto"/>
              <w:right w:val="single" w:sz="4" w:space="0" w:color="auto"/>
            </w:tcBorders>
            <w:shd w:val="clear" w:color="auto" w:fill="auto"/>
            <w:noWrap/>
            <w:vAlign w:val="bottom"/>
            <w:hideMark/>
          </w:tcPr>
          <w:p w14:paraId="0AB35116" w14:textId="77777777" w:rsidR="00603830" w:rsidRPr="00603830" w:rsidRDefault="00603830" w:rsidP="00264C0B">
            <w:pPr>
              <w:ind w:right="6"/>
              <w:rPr>
                <w:rFonts w:asciiTheme="majorHAnsi" w:eastAsia="Times New Roman" w:hAnsiTheme="majorHAnsi" w:cs="Calibri"/>
                <w:color w:val="000000"/>
                <w:lang w:eastAsia="en-GB"/>
              </w:rPr>
            </w:pPr>
            <w:r w:rsidRPr="00603830">
              <w:rPr>
                <w:rFonts w:asciiTheme="majorHAnsi" w:eastAsia="Times New Roman" w:hAnsiTheme="majorHAnsi" w:cs="Calibri"/>
                <w:color w:val="000000"/>
                <w:lang w:eastAsia="en-GB"/>
              </w:rPr>
              <w:t xml:space="preserve">Premium risk is the uncertainty related to future accident years. </w:t>
            </w:r>
          </w:p>
          <w:p w14:paraId="1C3A7C6E" w14:textId="77777777" w:rsidR="00603830" w:rsidRPr="00603830" w:rsidRDefault="00603830" w:rsidP="00264C0B">
            <w:pPr>
              <w:ind w:right="6"/>
              <w:rPr>
                <w:rFonts w:asciiTheme="majorHAnsi" w:eastAsia="Times New Roman" w:hAnsiTheme="majorHAnsi" w:cs="Calibri"/>
                <w:color w:val="000000"/>
                <w:lang w:eastAsia="en-GB"/>
              </w:rPr>
            </w:pPr>
            <w:r w:rsidRPr="00603830">
              <w:rPr>
                <w:rFonts w:asciiTheme="majorHAnsi" w:eastAsia="Times New Roman" w:hAnsiTheme="majorHAnsi" w:cs="Calibri"/>
                <w:color w:val="000000"/>
                <w:lang w:eastAsia="en-GB"/>
              </w:rPr>
              <w:t xml:space="preserve">Man-made catastrophe risk, inflation risks, expenses and life underwriting risks resulting from annuities should be captured </w:t>
            </w:r>
            <w:r w:rsidRPr="00603830">
              <w:rPr>
                <w:rFonts w:asciiTheme="majorHAnsi" w:eastAsia="Times New Roman" w:hAnsiTheme="majorHAnsi" w:cs="Calibri"/>
                <w:color w:val="000000"/>
                <w:lang w:eastAsia="en-GB"/>
              </w:rPr>
              <w:lastRenderedPageBreak/>
              <w:t>here if they result from future claims (incl. UPR and BBNI).</w:t>
            </w:r>
          </w:p>
          <w:p w14:paraId="0AC44DB9" w14:textId="77777777" w:rsidR="00603830" w:rsidRPr="00603830" w:rsidRDefault="00603830" w:rsidP="00264C0B">
            <w:pPr>
              <w:ind w:right="6"/>
              <w:rPr>
                <w:rFonts w:asciiTheme="majorHAnsi" w:eastAsia="Times New Roman" w:hAnsiTheme="majorHAnsi" w:cs="Calibri"/>
                <w:color w:val="000000"/>
                <w:highlight w:val="yellow"/>
                <w:lang w:eastAsia="en-GB"/>
              </w:rPr>
            </w:pPr>
            <w:r w:rsidRPr="00603830">
              <w:rPr>
                <w:rFonts w:asciiTheme="majorHAnsi" w:eastAsia="Times New Roman" w:hAnsiTheme="majorHAnsi" w:cs="Calibri"/>
                <w:color w:val="000000"/>
                <w:lang w:eastAsia="en-GB"/>
              </w:rPr>
              <w:t>For undertakings which use a model based on underwriting years, the unearned reserve risk and underwriting risk should be considered here.</w:t>
            </w:r>
            <w:r w:rsidRPr="00603830">
              <w:rPr>
                <w:rFonts w:asciiTheme="majorHAnsi" w:eastAsia="Times New Roman" w:hAnsiTheme="majorHAnsi" w:cs="Calibri"/>
                <w:color w:val="000000"/>
                <w:highlight w:val="yellow"/>
                <w:lang w:eastAsia="en-GB"/>
              </w:rPr>
              <w:t xml:space="preserve"> </w:t>
            </w:r>
          </w:p>
        </w:tc>
      </w:tr>
      <w:tr w:rsidR="00603830" w:rsidRPr="00603830" w14:paraId="484500DD" w14:textId="77777777" w:rsidTr="00264C0B">
        <w:trPr>
          <w:trHeight w:val="288"/>
        </w:trPr>
        <w:tc>
          <w:tcPr>
            <w:tcW w:w="1069" w:type="pct"/>
            <w:vMerge/>
            <w:tcBorders>
              <w:top w:val="nil"/>
              <w:left w:val="single" w:sz="4" w:space="0" w:color="auto"/>
              <w:bottom w:val="single" w:sz="4" w:space="0" w:color="auto"/>
              <w:right w:val="single" w:sz="4" w:space="0" w:color="auto"/>
            </w:tcBorders>
            <w:vAlign w:val="center"/>
            <w:hideMark/>
          </w:tcPr>
          <w:p w14:paraId="4D75D522" w14:textId="77777777" w:rsidR="00603830" w:rsidRPr="00603830" w:rsidRDefault="00603830" w:rsidP="00264C0B">
            <w:pPr>
              <w:ind w:right="6"/>
              <w:rPr>
                <w:rFonts w:asciiTheme="majorHAnsi" w:eastAsia="Times New Roman" w:hAnsiTheme="majorHAnsi" w:cs="Calibri"/>
                <w:b/>
                <w:bCs/>
                <w:color w:val="000000"/>
                <w:lang w:eastAsia="en-GB"/>
              </w:rPr>
            </w:pPr>
          </w:p>
        </w:tc>
        <w:tc>
          <w:tcPr>
            <w:tcW w:w="1006" w:type="pct"/>
            <w:tcBorders>
              <w:top w:val="nil"/>
              <w:left w:val="nil"/>
              <w:bottom w:val="single" w:sz="4" w:space="0" w:color="auto"/>
              <w:right w:val="single" w:sz="4" w:space="0" w:color="auto"/>
            </w:tcBorders>
            <w:shd w:val="clear" w:color="auto" w:fill="auto"/>
            <w:vAlign w:val="center"/>
            <w:hideMark/>
          </w:tcPr>
          <w:p w14:paraId="3C7E5643" w14:textId="77777777" w:rsidR="00603830" w:rsidRPr="00603830" w:rsidRDefault="00603830" w:rsidP="00264C0B">
            <w:pPr>
              <w:ind w:right="6"/>
              <w:jc w:val="center"/>
              <w:rPr>
                <w:rFonts w:asciiTheme="majorHAnsi" w:eastAsia="Times New Roman" w:hAnsiTheme="majorHAnsi" w:cs="Calibri"/>
                <w:b/>
                <w:bCs/>
                <w:color w:val="000000"/>
                <w:lang w:eastAsia="en-GB"/>
              </w:rPr>
            </w:pPr>
            <w:r w:rsidRPr="00603830">
              <w:rPr>
                <w:rFonts w:asciiTheme="majorHAnsi" w:eastAsia="Times New Roman" w:hAnsiTheme="majorHAnsi" w:cs="Calibri"/>
                <w:b/>
                <w:bCs/>
                <w:color w:val="000000"/>
                <w:lang w:eastAsia="en-GB"/>
              </w:rPr>
              <w:t>Life Underwriting risks Health Liabilities</w:t>
            </w:r>
          </w:p>
        </w:tc>
        <w:tc>
          <w:tcPr>
            <w:tcW w:w="2925" w:type="pct"/>
            <w:tcBorders>
              <w:top w:val="nil"/>
              <w:left w:val="nil"/>
              <w:bottom w:val="single" w:sz="4" w:space="0" w:color="auto"/>
              <w:right w:val="single" w:sz="4" w:space="0" w:color="auto"/>
            </w:tcBorders>
            <w:shd w:val="clear" w:color="auto" w:fill="auto"/>
            <w:noWrap/>
            <w:vAlign w:val="bottom"/>
            <w:hideMark/>
          </w:tcPr>
          <w:p w14:paraId="55C02B2B" w14:textId="77777777" w:rsidR="00603830" w:rsidRPr="00603830" w:rsidRDefault="00603830" w:rsidP="00264C0B">
            <w:pPr>
              <w:ind w:right="6"/>
              <w:rPr>
                <w:rFonts w:asciiTheme="majorHAnsi" w:eastAsia="Times New Roman" w:hAnsiTheme="majorHAnsi" w:cs="Calibri"/>
                <w:color w:val="000000"/>
                <w:lang w:eastAsia="en-GB"/>
              </w:rPr>
            </w:pPr>
            <w:r w:rsidRPr="00603830">
              <w:rPr>
                <w:rFonts w:asciiTheme="majorHAnsi" w:eastAsia="Times New Roman" w:hAnsiTheme="majorHAnsi" w:cs="Calibri"/>
                <w:color w:val="000000"/>
                <w:lang w:eastAsia="en-GB"/>
              </w:rPr>
              <w:t xml:space="preserve">Health life underwriting risk encompasses </w:t>
            </w:r>
            <w:r w:rsidRPr="00603830">
              <w:rPr>
                <w:rFonts w:asciiTheme="majorHAnsi" w:hAnsiTheme="majorHAnsi"/>
              </w:rPr>
              <w:t>the risk of loss, or of adverse change in the value of health life insurance liabilities, resulting from fluctuations in the timing, frequency and severity of insured events, and in the timing and amount of claim settlements at the time of provisioning.</w:t>
            </w:r>
          </w:p>
        </w:tc>
      </w:tr>
      <w:tr w:rsidR="00603830" w:rsidRPr="00603830" w14:paraId="3288BE71" w14:textId="77777777" w:rsidTr="00264C0B">
        <w:trPr>
          <w:trHeight w:val="288"/>
        </w:trPr>
        <w:tc>
          <w:tcPr>
            <w:tcW w:w="1069" w:type="pct"/>
            <w:vMerge/>
            <w:tcBorders>
              <w:top w:val="nil"/>
              <w:left w:val="single" w:sz="4" w:space="0" w:color="auto"/>
              <w:bottom w:val="single" w:sz="4" w:space="0" w:color="auto"/>
              <w:right w:val="single" w:sz="4" w:space="0" w:color="auto"/>
            </w:tcBorders>
            <w:vAlign w:val="center"/>
            <w:hideMark/>
          </w:tcPr>
          <w:p w14:paraId="1A3EFBE0" w14:textId="77777777" w:rsidR="00603830" w:rsidRPr="00603830" w:rsidRDefault="00603830" w:rsidP="00264C0B">
            <w:pPr>
              <w:ind w:right="6"/>
              <w:rPr>
                <w:rFonts w:asciiTheme="majorHAnsi" w:eastAsia="Times New Roman" w:hAnsiTheme="majorHAnsi" w:cs="Calibri"/>
                <w:b/>
                <w:bCs/>
                <w:color w:val="000000"/>
                <w:lang w:eastAsia="en-GB"/>
              </w:rPr>
            </w:pPr>
          </w:p>
        </w:tc>
        <w:tc>
          <w:tcPr>
            <w:tcW w:w="1006" w:type="pct"/>
            <w:tcBorders>
              <w:top w:val="nil"/>
              <w:left w:val="nil"/>
              <w:bottom w:val="single" w:sz="4" w:space="0" w:color="auto"/>
              <w:right w:val="single" w:sz="4" w:space="0" w:color="auto"/>
            </w:tcBorders>
            <w:shd w:val="clear" w:color="auto" w:fill="auto"/>
            <w:vAlign w:val="center"/>
            <w:hideMark/>
          </w:tcPr>
          <w:p w14:paraId="7D516ED4" w14:textId="77777777" w:rsidR="00603830" w:rsidRPr="00603830" w:rsidRDefault="00603830" w:rsidP="00264C0B">
            <w:pPr>
              <w:ind w:right="6"/>
              <w:jc w:val="center"/>
              <w:rPr>
                <w:rFonts w:asciiTheme="majorHAnsi" w:eastAsia="Times New Roman" w:hAnsiTheme="majorHAnsi" w:cs="Calibri"/>
                <w:b/>
                <w:bCs/>
                <w:color w:val="000000"/>
                <w:lang w:eastAsia="en-GB"/>
              </w:rPr>
            </w:pPr>
            <w:r w:rsidRPr="00603830">
              <w:rPr>
                <w:rFonts w:asciiTheme="majorHAnsi" w:eastAsia="Times New Roman" w:hAnsiTheme="majorHAnsi" w:cs="Calibri"/>
                <w:b/>
                <w:bCs/>
                <w:color w:val="000000"/>
                <w:lang w:eastAsia="en-GB"/>
              </w:rPr>
              <w:t>Health Catastrophe risk</w:t>
            </w:r>
          </w:p>
        </w:tc>
        <w:tc>
          <w:tcPr>
            <w:tcW w:w="2925" w:type="pct"/>
            <w:tcBorders>
              <w:top w:val="nil"/>
              <w:left w:val="nil"/>
              <w:bottom w:val="single" w:sz="4" w:space="0" w:color="auto"/>
              <w:right w:val="single" w:sz="4" w:space="0" w:color="auto"/>
            </w:tcBorders>
            <w:shd w:val="clear" w:color="auto" w:fill="auto"/>
            <w:noWrap/>
            <w:vAlign w:val="bottom"/>
            <w:hideMark/>
          </w:tcPr>
          <w:p w14:paraId="3815AC88" w14:textId="77777777" w:rsidR="00603830" w:rsidRPr="00603830" w:rsidRDefault="00603830" w:rsidP="00264C0B">
            <w:pPr>
              <w:ind w:right="6"/>
              <w:rPr>
                <w:rFonts w:asciiTheme="majorHAnsi" w:eastAsia="Times New Roman" w:hAnsiTheme="majorHAnsi" w:cs="Calibri"/>
                <w:color w:val="000000"/>
                <w:lang w:eastAsia="en-GB"/>
              </w:rPr>
            </w:pPr>
            <w:r w:rsidRPr="00603830">
              <w:rPr>
                <w:rFonts w:asciiTheme="majorHAnsi" w:hAnsiTheme="majorHAnsi"/>
              </w:rPr>
              <w:t>Health catastrophe risk entails the risk of loss, or of adverse change in the value of insurance liabilities, resulting from the significant uncertainty of pricing and provisioning assumptions related to outbreaks of major epidemics, as well as the unusual accumulation of risks under such extreme circumstances.</w:t>
            </w:r>
          </w:p>
        </w:tc>
      </w:tr>
      <w:tr w:rsidR="00603830" w:rsidRPr="00603830" w14:paraId="4F5D058E" w14:textId="77777777" w:rsidTr="00264C0B">
        <w:trPr>
          <w:trHeight w:val="576"/>
        </w:trPr>
        <w:tc>
          <w:tcPr>
            <w:tcW w:w="1069" w:type="pct"/>
            <w:vMerge/>
            <w:tcBorders>
              <w:top w:val="nil"/>
              <w:left w:val="single" w:sz="4" w:space="0" w:color="auto"/>
              <w:bottom w:val="single" w:sz="4" w:space="0" w:color="auto"/>
              <w:right w:val="single" w:sz="4" w:space="0" w:color="auto"/>
            </w:tcBorders>
            <w:vAlign w:val="center"/>
            <w:hideMark/>
          </w:tcPr>
          <w:p w14:paraId="42FEB125" w14:textId="77777777" w:rsidR="00603830" w:rsidRPr="00603830" w:rsidRDefault="00603830" w:rsidP="00264C0B">
            <w:pPr>
              <w:ind w:right="6"/>
              <w:rPr>
                <w:rFonts w:asciiTheme="majorHAnsi" w:eastAsia="Times New Roman" w:hAnsiTheme="majorHAnsi" w:cs="Calibri"/>
                <w:b/>
                <w:bCs/>
                <w:color w:val="000000"/>
                <w:lang w:eastAsia="en-GB"/>
              </w:rPr>
            </w:pPr>
          </w:p>
        </w:tc>
        <w:tc>
          <w:tcPr>
            <w:tcW w:w="1006" w:type="pct"/>
            <w:tcBorders>
              <w:top w:val="nil"/>
              <w:left w:val="nil"/>
              <w:bottom w:val="single" w:sz="4" w:space="0" w:color="auto"/>
              <w:right w:val="single" w:sz="4" w:space="0" w:color="auto"/>
            </w:tcBorders>
            <w:shd w:val="clear" w:color="auto" w:fill="auto"/>
            <w:vAlign w:val="center"/>
            <w:hideMark/>
          </w:tcPr>
          <w:p w14:paraId="3FDEA5D8" w14:textId="77777777" w:rsidR="00603830" w:rsidRPr="00603830" w:rsidRDefault="00603830" w:rsidP="00264C0B">
            <w:pPr>
              <w:ind w:right="6"/>
              <w:jc w:val="center"/>
              <w:rPr>
                <w:rFonts w:asciiTheme="majorHAnsi" w:eastAsia="Times New Roman" w:hAnsiTheme="majorHAnsi" w:cs="Calibri"/>
                <w:b/>
                <w:bCs/>
                <w:color w:val="000000"/>
                <w:lang w:eastAsia="en-GB"/>
              </w:rPr>
            </w:pPr>
            <w:r w:rsidRPr="00603830">
              <w:rPr>
                <w:rFonts w:asciiTheme="majorHAnsi" w:eastAsia="Times New Roman" w:hAnsiTheme="majorHAnsi" w:cs="Calibri"/>
                <w:b/>
                <w:bCs/>
                <w:color w:val="000000"/>
                <w:lang w:eastAsia="en-GB"/>
              </w:rPr>
              <w:t>Overhead expense risk</w:t>
            </w:r>
            <w:r w:rsidRPr="00603830">
              <w:rPr>
                <w:rFonts w:asciiTheme="majorHAnsi" w:eastAsia="Times New Roman" w:hAnsiTheme="majorHAnsi" w:cs="Calibri"/>
                <w:b/>
                <w:bCs/>
                <w:color w:val="000000"/>
                <w:lang w:eastAsia="en-GB"/>
              </w:rPr>
              <w:br/>
              <w:t>Health NSLT Liabilities</w:t>
            </w:r>
          </w:p>
        </w:tc>
        <w:tc>
          <w:tcPr>
            <w:tcW w:w="2925" w:type="pct"/>
            <w:tcBorders>
              <w:top w:val="nil"/>
              <w:left w:val="nil"/>
              <w:bottom w:val="single" w:sz="4" w:space="0" w:color="auto"/>
              <w:right w:val="single" w:sz="4" w:space="0" w:color="auto"/>
            </w:tcBorders>
            <w:shd w:val="clear" w:color="auto" w:fill="auto"/>
            <w:noWrap/>
            <w:vAlign w:val="bottom"/>
            <w:hideMark/>
          </w:tcPr>
          <w:p w14:paraId="5B8D1B4B" w14:textId="77777777" w:rsidR="00603830" w:rsidRPr="00603830" w:rsidRDefault="00603830" w:rsidP="00264C0B">
            <w:pPr>
              <w:ind w:right="6"/>
              <w:rPr>
                <w:rFonts w:asciiTheme="majorHAnsi" w:eastAsia="Times New Roman" w:hAnsiTheme="majorHAnsi" w:cs="Calibri"/>
                <w:color w:val="000000"/>
                <w:lang w:eastAsia="en-GB"/>
              </w:rPr>
            </w:pPr>
            <w:r w:rsidRPr="00603830">
              <w:rPr>
                <w:rFonts w:asciiTheme="majorHAnsi" w:eastAsia="Times New Roman" w:hAnsiTheme="majorHAnsi" w:cs="Calibri"/>
                <w:color w:val="000000"/>
                <w:lang w:eastAsia="en-GB"/>
              </w:rPr>
              <w:t>Overhead expenses modelled on an aggregate level (across all S2LoBs) within the Non-Life underwriting risk which are not already captured within premium and reserve risk.</w:t>
            </w:r>
          </w:p>
        </w:tc>
      </w:tr>
      <w:tr w:rsidR="00603830" w:rsidRPr="00603830" w14:paraId="096057A4" w14:textId="77777777" w:rsidTr="00264C0B">
        <w:trPr>
          <w:trHeight w:val="288"/>
        </w:trPr>
        <w:tc>
          <w:tcPr>
            <w:tcW w:w="1069" w:type="pct"/>
            <w:vMerge/>
            <w:tcBorders>
              <w:top w:val="nil"/>
              <w:left w:val="single" w:sz="4" w:space="0" w:color="auto"/>
              <w:bottom w:val="single" w:sz="4" w:space="0" w:color="auto"/>
              <w:right w:val="single" w:sz="4" w:space="0" w:color="auto"/>
            </w:tcBorders>
            <w:vAlign w:val="center"/>
            <w:hideMark/>
          </w:tcPr>
          <w:p w14:paraId="3EAAF559" w14:textId="77777777" w:rsidR="00603830" w:rsidRPr="00603830" w:rsidRDefault="00603830" w:rsidP="00264C0B">
            <w:pPr>
              <w:ind w:right="6"/>
              <w:rPr>
                <w:rFonts w:asciiTheme="majorHAnsi" w:eastAsia="Times New Roman" w:hAnsiTheme="majorHAnsi" w:cs="Calibri"/>
                <w:b/>
                <w:bCs/>
                <w:color w:val="000000"/>
                <w:lang w:eastAsia="en-GB"/>
              </w:rPr>
            </w:pPr>
          </w:p>
        </w:tc>
        <w:tc>
          <w:tcPr>
            <w:tcW w:w="1006" w:type="pct"/>
            <w:tcBorders>
              <w:top w:val="nil"/>
              <w:left w:val="nil"/>
              <w:bottom w:val="single" w:sz="4" w:space="0" w:color="auto"/>
              <w:right w:val="single" w:sz="4" w:space="0" w:color="auto"/>
            </w:tcBorders>
            <w:shd w:val="clear" w:color="auto" w:fill="auto"/>
            <w:vAlign w:val="center"/>
            <w:hideMark/>
          </w:tcPr>
          <w:p w14:paraId="3F932C3A" w14:textId="77777777" w:rsidR="00603830" w:rsidRPr="00603830" w:rsidRDefault="00603830" w:rsidP="00264C0B">
            <w:pPr>
              <w:ind w:right="6"/>
              <w:jc w:val="center"/>
              <w:rPr>
                <w:rFonts w:asciiTheme="majorHAnsi" w:eastAsia="Times New Roman" w:hAnsiTheme="majorHAnsi" w:cs="Calibri"/>
                <w:b/>
                <w:bCs/>
                <w:color w:val="000000"/>
                <w:lang w:eastAsia="en-GB"/>
              </w:rPr>
            </w:pPr>
            <w:r w:rsidRPr="00603830">
              <w:rPr>
                <w:rFonts w:asciiTheme="majorHAnsi" w:eastAsia="Times New Roman" w:hAnsiTheme="majorHAnsi" w:cs="Calibri"/>
                <w:b/>
                <w:bCs/>
                <w:color w:val="000000"/>
                <w:lang w:eastAsia="en-GB"/>
              </w:rPr>
              <w:t>Other Health Underwriting risks</w:t>
            </w:r>
          </w:p>
        </w:tc>
        <w:tc>
          <w:tcPr>
            <w:tcW w:w="2925" w:type="pct"/>
            <w:tcBorders>
              <w:top w:val="nil"/>
              <w:left w:val="nil"/>
              <w:bottom w:val="single" w:sz="4" w:space="0" w:color="auto"/>
              <w:right w:val="single" w:sz="4" w:space="0" w:color="auto"/>
            </w:tcBorders>
            <w:shd w:val="clear" w:color="auto" w:fill="auto"/>
            <w:noWrap/>
            <w:vAlign w:val="bottom"/>
            <w:hideMark/>
          </w:tcPr>
          <w:p w14:paraId="0C147F32" w14:textId="77777777" w:rsidR="00603830" w:rsidRPr="00603830" w:rsidRDefault="00603830" w:rsidP="00264C0B">
            <w:pPr>
              <w:ind w:right="6"/>
              <w:rPr>
                <w:rFonts w:asciiTheme="majorHAnsi" w:eastAsia="Times New Roman" w:hAnsiTheme="majorHAnsi" w:cs="Calibri"/>
                <w:color w:val="000000"/>
                <w:lang w:eastAsia="en-GB"/>
              </w:rPr>
            </w:pPr>
            <w:r w:rsidRPr="00603830">
              <w:rPr>
                <w:rFonts w:asciiTheme="majorHAnsi" w:eastAsia="Times New Roman" w:hAnsiTheme="majorHAnsi" w:cs="Calibri"/>
                <w:color w:val="000000"/>
                <w:lang w:eastAsia="en-GB"/>
              </w:rPr>
              <w:t> This bucket should contain any modelled health risk not mentioned above. If the internal model models cross-terms within health risk, they should be added to this bucket.</w:t>
            </w:r>
          </w:p>
        </w:tc>
      </w:tr>
      <w:tr w:rsidR="00603830" w:rsidRPr="00603830" w14:paraId="59A90B59" w14:textId="77777777" w:rsidTr="00264C0B">
        <w:trPr>
          <w:trHeight w:val="288"/>
        </w:trPr>
        <w:tc>
          <w:tcPr>
            <w:tcW w:w="1069" w:type="pct"/>
            <w:tcBorders>
              <w:top w:val="nil"/>
              <w:left w:val="single" w:sz="4" w:space="0" w:color="auto"/>
              <w:bottom w:val="single" w:sz="4" w:space="0" w:color="auto"/>
              <w:right w:val="single" w:sz="4" w:space="0" w:color="auto"/>
            </w:tcBorders>
            <w:shd w:val="clear" w:color="auto" w:fill="auto"/>
            <w:vAlign w:val="center"/>
            <w:hideMark/>
          </w:tcPr>
          <w:p w14:paraId="500EE414" w14:textId="77777777" w:rsidR="00603830" w:rsidRPr="00603830" w:rsidRDefault="00603830" w:rsidP="00264C0B">
            <w:pPr>
              <w:ind w:right="6"/>
              <w:jc w:val="center"/>
              <w:rPr>
                <w:rFonts w:asciiTheme="majorHAnsi" w:eastAsia="Times New Roman" w:hAnsiTheme="majorHAnsi" w:cs="Calibri"/>
                <w:b/>
                <w:bCs/>
                <w:color w:val="000000"/>
                <w:lang w:eastAsia="en-GB"/>
              </w:rPr>
            </w:pPr>
            <w:r w:rsidRPr="00603830">
              <w:rPr>
                <w:rFonts w:asciiTheme="majorHAnsi" w:eastAsia="Times New Roman" w:hAnsiTheme="majorHAnsi" w:cs="Calibri"/>
                <w:b/>
                <w:bCs/>
                <w:color w:val="000000"/>
                <w:lang w:eastAsia="en-GB"/>
              </w:rPr>
              <w:t>Standardised Operational Risk</w:t>
            </w:r>
          </w:p>
        </w:tc>
        <w:tc>
          <w:tcPr>
            <w:tcW w:w="1006" w:type="pct"/>
            <w:tcBorders>
              <w:top w:val="nil"/>
              <w:left w:val="nil"/>
              <w:bottom w:val="single" w:sz="4" w:space="0" w:color="auto"/>
              <w:right w:val="single" w:sz="4" w:space="0" w:color="auto"/>
            </w:tcBorders>
            <w:shd w:val="clear" w:color="auto" w:fill="auto"/>
            <w:vAlign w:val="center"/>
            <w:hideMark/>
          </w:tcPr>
          <w:p w14:paraId="6650A144" w14:textId="77777777" w:rsidR="00603830" w:rsidRPr="00603830" w:rsidRDefault="00603830" w:rsidP="00264C0B">
            <w:pPr>
              <w:ind w:right="6"/>
              <w:jc w:val="center"/>
              <w:rPr>
                <w:rFonts w:asciiTheme="majorHAnsi" w:eastAsia="Times New Roman" w:hAnsiTheme="majorHAnsi" w:cs="Calibri"/>
                <w:b/>
                <w:bCs/>
                <w:color w:val="000000"/>
                <w:lang w:eastAsia="en-GB"/>
              </w:rPr>
            </w:pPr>
            <w:r w:rsidRPr="00603830">
              <w:rPr>
                <w:rFonts w:asciiTheme="majorHAnsi" w:eastAsia="Times New Roman" w:hAnsiTheme="majorHAnsi" w:cs="Calibri"/>
                <w:b/>
                <w:bCs/>
                <w:color w:val="000000"/>
                <w:lang w:eastAsia="en-GB"/>
              </w:rPr>
              <w:t>Operational Risk</w:t>
            </w:r>
          </w:p>
        </w:tc>
        <w:tc>
          <w:tcPr>
            <w:tcW w:w="2925" w:type="pct"/>
            <w:tcBorders>
              <w:top w:val="nil"/>
              <w:left w:val="nil"/>
              <w:bottom w:val="single" w:sz="4" w:space="0" w:color="auto"/>
              <w:right w:val="single" w:sz="4" w:space="0" w:color="auto"/>
            </w:tcBorders>
            <w:shd w:val="clear" w:color="auto" w:fill="auto"/>
            <w:noWrap/>
            <w:vAlign w:val="bottom"/>
            <w:hideMark/>
          </w:tcPr>
          <w:p w14:paraId="3E478AEA" w14:textId="77777777" w:rsidR="00603830" w:rsidRPr="00603830" w:rsidRDefault="00603830" w:rsidP="00264C0B">
            <w:pPr>
              <w:ind w:right="6"/>
              <w:rPr>
                <w:rFonts w:asciiTheme="majorHAnsi" w:eastAsia="Times New Roman" w:hAnsiTheme="majorHAnsi" w:cs="Calibri"/>
                <w:color w:val="000000"/>
                <w:lang w:eastAsia="en-GB"/>
              </w:rPr>
            </w:pPr>
            <w:r w:rsidRPr="00603830">
              <w:rPr>
                <w:rFonts w:asciiTheme="majorHAnsi" w:hAnsiTheme="majorHAnsi"/>
              </w:rPr>
              <w:t>Operational risk means the risk of loss arising from inadequate or failed internal processes, personnel or systems, or from external events. It includes legal risks, and excludes risks arising from strategic decisions, as well as reputation risks.</w:t>
            </w:r>
          </w:p>
        </w:tc>
      </w:tr>
      <w:tr w:rsidR="00603830" w:rsidRPr="00603830" w14:paraId="3292477B" w14:textId="77777777" w:rsidTr="00264C0B">
        <w:trPr>
          <w:trHeight w:val="288"/>
        </w:trPr>
        <w:tc>
          <w:tcPr>
            <w:tcW w:w="1069" w:type="pct"/>
            <w:tcBorders>
              <w:top w:val="nil"/>
              <w:left w:val="single" w:sz="4" w:space="0" w:color="auto"/>
              <w:bottom w:val="single" w:sz="4" w:space="0" w:color="auto"/>
              <w:right w:val="single" w:sz="4" w:space="0" w:color="auto"/>
            </w:tcBorders>
            <w:shd w:val="clear" w:color="auto" w:fill="auto"/>
            <w:vAlign w:val="center"/>
            <w:hideMark/>
          </w:tcPr>
          <w:p w14:paraId="45253517" w14:textId="77777777" w:rsidR="00603830" w:rsidRPr="00603830" w:rsidRDefault="00603830" w:rsidP="00264C0B">
            <w:pPr>
              <w:ind w:right="6"/>
              <w:jc w:val="center"/>
              <w:rPr>
                <w:rFonts w:asciiTheme="majorHAnsi" w:eastAsia="Times New Roman" w:hAnsiTheme="majorHAnsi" w:cs="Calibri"/>
                <w:b/>
                <w:bCs/>
                <w:color w:val="000000"/>
                <w:lang w:eastAsia="en-GB"/>
              </w:rPr>
            </w:pPr>
            <w:r w:rsidRPr="00603830">
              <w:rPr>
                <w:rFonts w:asciiTheme="majorHAnsi" w:eastAsia="Times New Roman" w:hAnsiTheme="majorHAnsi" w:cs="Calibri"/>
                <w:b/>
                <w:bCs/>
                <w:color w:val="000000"/>
                <w:lang w:eastAsia="en-GB"/>
              </w:rPr>
              <w:t>Other Standardised Risks</w:t>
            </w:r>
          </w:p>
        </w:tc>
        <w:tc>
          <w:tcPr>
            <w:tcW w:w="1006" w:type="pct"/>
            <w:tcBorders>
              <w:top w:val="nil"/>
              <w:left w:val="nil"/>
              <w:bottom w:val="single" w:sz="4" w:space="0" w:color="auto"/>
              <w:right w:val="single" w:sz="4" w:space="0" w:color="auto"/>
            </w:tcBorders>
            <w:shd w:val="clear" w:color="auto" w:fill="auto"/>
            <w:vAlign w:val="center"/>
            <w:hideMark/>
          </w:tcPr>
          <w:p w14:paraId="3F729271" w14:textId="77777777" w:rsidR="00603830" w:rsidRPr="00603830" w:rsidRDefault="00603830" w:rsidP="00264C0B">
            <w:pPr>
              <w:ind w:right="6"/>
              <w:jc w:val="center"/>
              <w:rPr>
                <w:rFonts w:asciiTheme="majorHAnsi" w:eastAsia="Times New Roman" w:hAnsiTheme="majorHAnsi" w:cs="Calibri"/>
                <w:b/>
                <w:bCs/>
                <w:color w:val="000000"/>
                <w:lang w:eastAsia="en-GB"/>
              </w:rPr>
            </w:pPr>
            <w:r w:rsidRPr="00603830">
              <w:rPr>
                <w:rFonts w:asciiTheme="majorHAnsi" w:eastAsia="Times New Roman" w:hAnsiTheme="majorHAnsi" w:cs="Calibri"/>
                <w:b/>
                <w:bCs/>
                <w:color w:val="000000"/>
                <w:lang w:eastAsia="en-GB"/>
              </w:rPr>
              <w:t>Other</w:t>
            </w:r>
          </w:p>
        </w:tc>
        <w:tc>
          <w:tcPr>
            <w:tcW w:w="2925" w:type="pct"/>
            <w:tcBorders>
              <w:top w:val="nil"/>
              <w:left w:val="nil"/>
              <w:bottom w:val="single" w:sz="4" w:space="0" w:color="auto"/>
              <w:right w:val="single" w:sz="4" w:space="0" w:color="auto"/>
            </w:tcBorders>
            <w:shd w:val="clear" w:color="auto" w:fill="auto"/>
            <w:noWrap/>
            <w:vAlign w:val="bottom"/>
            <w:hideMark/>
          </w:tcPr>
          <w:p w14:paraId="2968BFC9" w14:textId="77777777" w:rsidR="00603830" w:rsidRPr="00603830" w:rsidRDefault="00603830" w:rsidP="00264C0B">
            <w:pPr>
              <w:keepNext/>
              <w:ind w:right="6"/>
              <w:rPr>
                <w:rFonts w:asciiTheme="majorHAnsi" w:eastAsia="Times New Roman" w:hAnsiTheme="majorHAnsi" w:cs="Calibri"/>
                <w:color w:val="000000"/>
                <w:lang w:eastAsia="en-GB"/>
              </w:rPr>
            </w:pPr>
            <w:r w:rsidRPr="00603830">
              <w:rPr>
                <w:rFonts w:asciiTheme="majorHAnsi" w:eastAsia="Times New Roman" w:hAnsiTheme="majorHAnsi" w:cs="Calibri"/>
                <w:color w:val="000000"/>
                <w:lang w:eastAsia="en-GB"/>
              </w:rPr>
              <w:t>This bucket should contain any risk not mentioned above. This bucket could for example contain liquidity or pension risk.</w:t>
            </w:r>
          </w:p>
        </w:tc>
      </w:tr>
    </w:tbl>
    <w:p w14:paraId="30CCFBC6" w14:textId="77777777" w:rsidR="00603830" w:rsidRPr="00603830" w:rsidRDefault="00603830" w:rsidP="00603830">
      <w:pPr>
        <w:pStyle w:val="Caption"/>
        <w:ind w:right="6"/>
        <w:rPr>
          <w:rFonts w:asciiTheme="majorHAnsi" w:hAnsiTheme="majorHAnsi"/>
        </w:rPr>
      </w:pPr>
      <w:r w:rsidRPr="00603830">
        <w:rPr>
          <w:rFonts w:asciiTheme="majorHAnsi" w:hAnsiTheme="majorHAnsi"/>
        </w:rPr>
        <w:t xml:space="preserve">Table </w:t>
      </w:r>
      <w:r w:rsidRPr="00603830">
        <w:rPr>
          <w:rFonts w:asciiTheme="majorHAnsi" w:hAnsiTheme="majorHAnsi"/>
        </w:rPr>
        <w:fldChar w:fldCharType="begin"/>
      </w:r>
      <w:r w:rsidRPr="00603830">
        <w:rPr>
          <w:rFonts w:asciiTheme="majorHAnsi" w:hAnsiTheme="majorHAnsi"/>
        </w:rPr>
        <w:instrText xml:space="preserve"> SEQ Table \* ARABIC </w:instrText>
      </w:r>
      <w:r w:rsidRPr="00603830">
        <w:rPr>
          <w:rFonts w:asciiTheme="majorHAnsi" w:hAnsiTheme="majorHAnsi"/>
        </w:rPr>
        <w:fldChar w:fldCharType="separate"/>
      </w:r>
      <w:r w:rsidRPr="00603830">
        <w:rPr>
          <w:rFonts w:asciiTheme="majorHAnsi" w:hAnsiTheme="majorHAnsi"/>
          <w:noProof/>
        </w:rPr>
        <w:t>1</w:t>
      </w:r>
      <w:r w:rsidRPr="00603830">
        <w:rPr>
          <w:rFonts w:asciiTheme="majorHAnsi" w:hAnsiTheme="majorHAnsi"/>
          <w:noProof/>
        </w:rPr>
        <w:fldChar w:fldCharType="end"/>
      </w:r>
      <w:r w:rsidRPr="00603830">
        <w:rPr>
          <w:rFonts w:asciiTheme="majorHAnsi" w:hAnsiTheme="majorHAnsi"/>
        </w:rPr>
        <w:t>: Sub-risk definitions</w:t>
      </w:r>
    </w:p>
    <w:p w14:paraId="42E39659" w14:textId="77777777" w:rsidR="00603830" w:rsidRPr="00603830" w:rsidRDefault="00603830" w:rsidP="00603830">
      <w:pPr>
        <w:ind w:right="6"/>
        <w:jc w:val="both"/>
        <w:rPr>
          <w:rFonts w:asciiTheme="majorHAnsi" w:hAnsiTheme="majorHAnsi"/>
        </w:rPr>
      </w:pPr>
      <w:r w:rsidRPr="00603830">
        <w:rPr>
          <w:rFonts w:asciiTheme="majorHAnsi" w:hAnsiTheme="majorHAnsi"/>
        </w:rPr>
        <w:t xml:space="preserve"> </w:t>
      </w:r>
    </w:p>
    <w:p w14:paraId="300BAFBF" w14:textId="77777777" w:rsidR="00603830" w:rsidRPr="00603830" w:rsidRDefault="00603830" w:rsidP="00603830">
      <w:pPr>
        <w:pStyle w:val="BodyText"/>
        <w:spacing w:before="119"/>
        <w:ind w:left="113" w:right="6"/>
        <w:jc w:val="both"/>
        <w:rPr>
          <w:rFonts w:asciiTheme="majorHAnsi" w:hAnsiTheme="majorHAnsi"/>
        </w:rPr>
      </w:pPr>
      <w:r w:rsidRPr="00603830">
        <w:rPr>
          <w:rFonts w:asciiTheme="majorHAnsi" w:hAnsiTheme="majorHAnsi"/>
        </w:rPr>
        <w:t xml:space="preserve">This tab focuses on the output of the sub-level risks as designed in the internal model. The mapping of the Internal Model risks as applied in the phase 1 study, should be consistent as in the phase 2 study. </w:t>
      </w:r>
    </w:p>
    <w:p w14:paraId="4B61FCF1" w14:textId="77777777" w:rsidR="00603830" w:rsidRPr="00603830" w:rsidRDefault="00603830" w:rsidP="00603830">
      <w:pPr>
        <w:pStyle w:val="BodyText"/>
        <w:spacing w:before="119"/>
        <w:ind w:left="113" w:right="6"/>
        <w:jc w:val="both"/>
        <w:rPr>
          <w:rFonts w:asciiTheme="majorHAnsi" w:hAnsiTheme="majorHAnsi"/>
        </w:rPr>
      </w:pPr>
      <w:r w:rsidRPr="00603830">
        <w:rPr>
          <w:rFonts w:asciiTheme="majorHAnsi" w:hAnsiTheme="majorHAnsi"/>
        </w:rPr>
        <w:t>As the internal model setup may lead to different risk composition for different internal models, the aim of this tab is to allow standardization of the internal model output. The data required on this tab summarizes to information on the quantiles of the profit and loss distribution resulting from the internal model and the simulations or scenarios generated to calculate this information. A more detailed explanation of the information required in each row is given in section IV.2.</w:t>
      </w:r>
    </w:p>
    <w:p w14:paraId="09317921" w14:textId="77777777" w:rsidR="00603830" w:rsidRPr="00603830" w:rsidRDefault="00603830" w:rsidP="00603830">
      <w:pPr>
        <w:pStyle w:val="BodyText"/>
        <w:spacing w:before="119"/>
        <w:ind w:left="113" w:right="6"/>
        <w:jc w:val="both"/>
        <w:rPr>
          <w:rFonts w:asciiTheme="majorHAnsi" w:hAnsiTheme="majorHAnsi"/>
        </w:rPr>
      </w:pPr>
      <w:r w:rsidRPr="00603830">
        <w:rPr>
          <w:rFonts w:asciiTheme="majorHAnsi" w:hAnsiTheme="majorHAnsi"/>
        </w:rPr>
        <w:t xml:space="preserve">In the section ‘Participant Information’ (cell C34) the undertaking states if it participates in the Non-Life Comparative Study (NLCS). If the answer is yes, certain columns in this study need not be filled in as this information will be obtained via cooperation with the NLCS project group. </w:t>
      </w:r>
    </w:p>
    <w:p w14:paraId="4A0096B8" w14:textId="77777777" w:rsidR="00603830" w:rsidRPr="00603830" w:rsidRDefault="00603830" w:rsidP="00603830">
      <w:pPr>
        <w:pStyle w:val="BodyText"/>
        <w:spacing w:before="119"/>
        <w:ind w:left="113" w:right="6"/>
        <w:jc w:val="both"/>
        <w:rPr>
          <w:rFonts w:asciiTheme="majorHAnsi" w:hAnsiTheme="majorHAnsi"/>
        </w:rPr>
      </w:pPr>
      <w:r w:rsidRPr="00603830">
        <w:rPr>
          <w:rFonts w:asciiTheme="majorHAnsi" w:hAnsiTheme="majorHAnsi"/>
        </w:rPr>
        <w:t>If it is impossible to generate distributions for the top-level and sub-level risks, the undertaking is still expected to provide the expected value, 0.5% quantile, and the modelled Value-at-Risk for all risks that are not calculated using the standard formula. Please indicate if the simulation data is available via the relevant cells in the row ‘</w:t>
      </w:r>
      <w:r w:rsidRPr="00603830">
        <w:rPr>
          <w:rFonts w:asciiTheme="majorHAnsi" w:hAnsiTheme="majorHAnsi"/>
          <w:i/>
          <w:iCs/>
        </w:rPr>
        <w:t>Is simulation data available?</w:t>
      </w:r>
      <w:r w:rsidRPr="00603830">
        <w:rPr>
          <w:rFonts w:asciiTheme="majorHAnsi" w:hAnsiTheme="majorHAnsi"/>
        </w:rPr>
        <w:t>’.</w:t>
      </w:r>
    </w:p>
    <w:p w14:paraId="13A2DF5F" w14:textId="77777777" w:rsidR="00603830" w:rsidRPr="00603830" w:rsidRDefault="00603830" w:rsidP="00603830">
      <w:pPr>
        <w:pStyle w:val="BodyText"/>
        <w:spacing w:before="119"/>
        <w:ind w:left="113" w:right="6"/>
        <w:jc w:val="both"/>
        <w:rPr>
          <w:rFonts w:asciiTheme="majorHAnsi" w:hAnsiTheme="majorHAnsi"/>
        </w:rPr>
      </w:pPr>
      <w:r w:rsidRPr="00603830">
        <w:rPr>
          <w:rFonts w:asciiTheme="majorHAnsi" w:hAnsiTheme="majorHAnsi"/>
        </w:rPr>
        <w:t>If the undertaking makes use of a Partial Internal Model (in terms of risks), only the data with respect to the risks in scope of the model should be entered in this sheet. If a risk is not explicitly modelled choose ‘Standard Formula’. Please indicate if the risk is incorporated in the model in the row ‘</w:t>
      </w:r>
      <w:r w:rsidRPr="00603830">
        <w:rPr>
          <w:rFonts w:asciiTheme="majorHAnsi" w:hAnsiTheme="majorHAnsi"/>
          <w:i/>
          <w:iCs/>
        </w:rPr>
        <w:t>Is the risk modelled in the Internal Model or the Standard Formula</w:t>
      </w:r>
      <w:r w:rsidRPr="00603830">
        <w:rPr>
          <w:rFonts w:asciiTheme="majorHAnsi" w:hAnsiTheme="majorHAnsi"/>
        </w:rPr>
        <w:t>?’.</w:t>
      </w:r>
    </w:p>
    <w:p w14:paraId="6A6000C6" w14:textId="77777777" w:rsidR="00603830" w:rsidRPr="00603830" w:rsidRDefault="00603830" w:rsidP="00603830">
      <w:pPr>
        <w:pStyle w:val="BodyText"/>
        <w:spacing w:before="119"/>
        <w:ind w:left="113" w:right="6"/>
        <w:jc w:val="both"/>
        <w:rPr>
          <w:rFonts w:asciiTheme="majorHAnsi" w:hAnsiTheme="majorHAnsi"/>
        </w:rPr>
      </w:pPr>
      <w:r w:rsidRPr="00603830">
        <w:rPr>
          <w:rFonts w:asciiTheme="majorHAnsi" w:hAnsiTheme="majorHAnsi"/>
        </w:rPr>
        <w:t xml:space="preserve">The columns contain the profit and loss distribution on aggregate level and per sub-risk. In contrast to the phase 1 data request, an undertaking needs to fill in detailed data for each sub-risk, even if that sub-risk is modeled in a different top-level risk (marked in dark blue) for their internal model. The input of the information on the whole tab should be based on the same scenario or simulation generation but multiple runs with different settings for the underlying risk factors may be necessary to obtain all necessary information. For example, if a Monte Carlo method is used to generate scenarios, the same </w:t>
      </w:r>
      <w:r w:rsidRPr="00603830">
        <w:rPr>
          <w:rStyle w:val="tlid-translation"/>
          <w:rFonts w:asciiTheme="majorHAnsi" w:hAnsiTheme="majorHAnsi"/>
          <w:lang w:val="en"/>
        </w:rPr>
        <w:t xml:space="preserve">random number generator </w:t>
      </w:r>
      <w:r w:rsidRPr="00603830">
        <w:rPr>
          <w:rFonts w:asciiTheme="majorHAnsi" w:hAnsiTheme="majorHAnsi"/>
        </w:rPr>
        <w:t xml:space="preserve">seed for the simulation, if any, should </w:t>
      </w:r>
      <w:r w:rsidRPr="00603830">
        <w:rPr>
          <w:rFonts w:asciiTheme="majorHAnsi" w:hAnsiTheme="majorHAnsi"/>
        </w:rPr>
        <w:lastRenderedPageBreak/>
        <w:t>be used over all runs, even if certain risk factors will become deterministic instead of stochastic. The input for the different columns is explained in the following steps.</w:t>
      </w:r>
    </w:p>
    <w:p w14:paraId="000A8DCA" w14:textId="77777777" w:rsidR="00603830" w:rsidRPr="00603830" w:rsidRDefault="00603830" w:rsidP="00603830">
      <w:pPr>
        <w:pStyle w:val="BodyText"/>
        <w:spacing w:before="119"/>
        <w:ind w:left="833" w:right="6"/>
        <w:jc w:val="both"/>
        <w:rPr>
          <w:rFonts w:asciiTheme="majorHAnsi" w:hAnsiTheme="majorHAnsi"/>
        </w:rPr>
      </w:pPr>
    </w:p>
    <w:p w14:paraId="2FEE3A67" w14:textId="77777777" w:rsidR="00603830" w:rsidRPr="00603830" w:rsidRDefault="00603830" w:rsidP="00603830">
      <w:pPr>
        <w:pStyle w:val="BodyText"/>
        <w:spacing w:before="119"/>
        <w:ind w:left="142" w:right="6" w:firstLine="720"/>
        <w:jc w:val="both"/>
        <w:rPr>
          <w:rFonts w:asciiTheme="majorHAnsi" w:hAnsiTheme="majorHAnsi"/>
          <w:i/>
          <w:iCs/>
        </w:rPr>
      </w:pPr>
      <w:r w:rsidRPr="00603830">
        <w:rPr>
          <w:rFonts w:asciiTheme="majorHAnsi" w:hAnsiTheme="majorHAnsi"/>
          <w:i/>
          <w:iCs/>
        </w:rPr>
        <w:t>Total (column number 1)</w:t>
      </w:r>
    </w:p>
    <w:p w14:paraId="614347DA" w14:textId="77777777" w:rsidR="00603830" w:rsidRPr="00603830" w:rsidRDefault="00603830" w:rsidP="00603830">
      <w:pPr>
        <w:pStyle w:val="BodyText"/>
        <w:spacing w:before="119"/>
        <w:ind w:left="142" w:right="6"/>
        <w:jc w:val="both"/>
        <w:rPr>
          <w:rFonts w:asciiTheme="majorHAnsi" w:hAnsiTheme="majorHAnsi"/>
        </w:rPr>
      </w:pPr>
      <w:r w:rsidRPr="00603830">
        <w:rPr>
          <w:rFonts w:asciiTheme="majorHAnsi" w:hAnsiTheme="majorHAnsi"/>
        </w:rPr>
        <w:t xml:space="preserve">The column ‘Total’ refers to the total profit and loss distribution after aggregation of the sub- and top-level risks. For each scenario, it should therefore equal the sum of the same scenario over all sub-level risks, excluding the standardised aggregate columns (e.g. for health and non-life risks). If the aggregation for the total risk is performed via standard formula, this risk is per definition modelled via standard formula. </w:t>
      </w:r>
    </w:p>
    <w:p w14:paraId="6D2853C7" w14:textId="77777777" w:rsidR="00603830" w:rsidRPr="00603830" w:rsidRDefault="00603830" w:rsidP="00603830">
      <w:pPr>
        <w:pStyle w:val="BodyText"/>
        <w:spacing w:before="119"/>
        <w:ind w:left="142" w:right="6"/>
        <w:jc w:val="both"/>
        <w:rPr>
          <w:rFonts w:asciiTheme="majorHAnsi" w:hAnsiTheme="majorHAnsi"/>
        </w:rPr>
      </w:pPr>
    </w:p>
    <w:p w14:paraId="3F22F47A" w14:textId="77777777" w:rsidR="00603830" w:rsidRPr="00603830" w:rsidRDefault="00603830" w:rsidP="00603830">
      <w:pPr>
        <w:pStyle w:val="BodyText"/>
        <w:spacing w:before="119"/>
        <w:ind w:left="142" w:right="6" w:firstLine="720"/>
        <w:jc w:val="both"/>
        <w:rPr>
          <w:rFonts w:asciiTheme="majorHAnsi" w:hAnsiTheme="majorHAnsi"/>
          <w:i/>
          <w:iCs/>
        </w:rPr>
      </w:pPr>
      <w:r w:rsidRPr="00603830">
        <w:rPr>
          <w:rFonts w:asciiTheme="majorHAnsi" w:hAnsiTheme="majorHAnsi"/>
          <w:i/>
          <w:iCs/>
        </w:rPr>
        <w:t>Cross-Terms (column number 2)</w:t>
      </w:r>
    </w:p>
    <w:p w14:paraId="3B09B779" w14:textId="77777777" w:rsidR="00603830" w:rsidRPr="00603830" w:rsidRDefault="00603830" w:rsidP="00603830">
      <w:pPr>
        <w:pStyle w:val="BodyText"/>
        <w:spacing w:before="119"/>
        <w:ind w:left="142" w:right="6"/>
        <w:jc w:val="both"/>
        <w:rPr>
          <w:rFonts w:asciiTheme="majorHAnsi" w:hAnsiTheme="majorHAnsi"/>
        </w:rPr>
      </w:pPr>
      <w:r w:rsidRPr="00603830">
        <w:rPr>
          <w:rFonts w:asciiTheme="majorHAnsi" w:hAnsiTheme="majorHAnsi"/>
        </w:rPr>
        <w:t>These cross terms, as defined in table 1, should only be filled in if the undertaking models the cross-terms separately from the top- or sub-level risks. If the model of the undertaking is such that cross-terms are incorporated within the simulation of the top-or sub-level risks (e.g. by making use of a bottom-up integrated approach), this column should not be filled in.</w:t>
      </w:r>
    </w:p>
    <w:p w14:paraId="7ED07DE9" w14:textId="77777777" w:rsidR="00603830" w:rsidRPr="00603830" w:rsidRDefault="00603830" w:rsidP="00603830">
      <w:pPr>
        <w:pStyle w:val="BodyText"/>
        <w:spacing w:before="119"/>
        <w:ind w:left="142" w:right="6"/>
        <w:jc w:val="both"/>
        <w:rPr>
          <w:rFonts w:asciiTheme="majorHAnsi" w:hAnsiTheme="majorHAnsi"/>
          <w:highlight w:val="yellow"/>
        </w:rPr>
      </w:pPr>
    </w:p>
    <w:p w14:paraId="1F7B557F" w14:textId="77777777" w:rsidR="00603830" w:rsidRPr="00603830" w:rsidRDefault="00603830" w:rsidP="00603830">
      <w:pPr>
        <w:pStyle w:val="BodyText"/>
        <w:spacing w:before="119"/>
        <w:ind w:left="142" w:right="6" w:firstLine="720"/>
        <w:jc w:val="both"/>
        <w:rPr>
          <w:rFonts w:asciiTheme="majorHAnsi" w:hAnsiTheme="majorHAnsi"/>
          <w:i/>
          <w:iCs/>
        </w:rPr>
      </w:pPr>
      <w:r w:rsidRPr="00603830">
        <w:rPr>
          <w:rFonts w:asciiTheme="majorHAnsi" w:hAnsiTheme="majorHAnsi"/>
          <w:i/>
          <w:iCs/>
        </w:rPr>
        <w:t>Market risk (column numbers 3-12)</w:t>
      </w:r>
    </w:p>
    <w:p w14:paraId="598BBABB" w14:textId="77777777" w:rsidR="00603830" w:rsidRPr="00603830" w:rsidRDefault="00603830" w:rsidP="00603830">
      <w:pPr>
        <w:pStyle w:val="BodyText"/>
        <w:spacing w:before="119"/>
        <w:ind w:left="142" w:right="6"/>
        <w:jc w:val="both"/>
        <w:rPr>
          <w:rFonts w:asciiTheme="majorHAnsi" w:hAnsiTheme="majorHAnsi"/>
        </w:rPr>
      </w:pPr>
      <w:r w:rsidRPr="00603830">
        <w:rPr>
          <w:rFonts w:asciiTheme="majorHAnsi" w:hAnsiTheme="majorHAnsi"/>
        </w:rPr>
        <w:t xml:space="preserve">Market risk is split into the following sub-risks: </w:t>
      </w:r>
      <w:r w:rsidRPr="00603830">
        <w:rPr>
          <w:rFonts w:asciiTheme="majorHAnsi" w:hAnsiTheme="majorHAnsi"/>
          <w:i/>
          <w:iCs/>
        </w:rPr>
        <w:t xml:space="preserve">Interest rate risk, Interest rate volatility risk, Inflation risk, Equity risk, Equity volatility risk, Property risk, Currency risk, Credit spread risk ‘Government and central banks’, Credit spread risk other, </w:t>
      </w:r>
      <w:r w:rsidRPr="00603830">
        <w:rPr>
          <w:rFonts w:asciiTheme="majorHAnsi" w:hAnsiTheme="majorHAnsi"/>
        </w:rPr>
        <w:t>and</w:t>
      </w:r>
      <w:r w:rsidRPr="00603830">
        <w:rPr>
          <w:rFonts w:asciiTheme="majorHAnsi" w:hAnsiTheme="majorHAnsi"/>
          <w:i/>
          <w:iCs/>
        </w:rPr>
        <w:t xml:space="preserve"> Other Market risks including cross-terms</w:t>
      </w:r>
      <w:r w:rsidRPr="00603830">
        <w:rPr>
          <w:rFonts w:asciiTheme="majorHAnsi" w:hAnsiTheme="majorHAnsi"/>
        </w:rPr>
        <w:t>. The definition of each of these risks is given in Table 1.</w:t>
      </w:r>
    </w:p>
    <w:p w14:paraId="608790B7" w14:textId="77777777" w:rsidR="00603830" w:rsidRPr="00603830" w:rsidRDefault="00603830" w:rsidP="00603830">
      <w:pPr>
        <w:pStyle w:val="BodyText"/>
        <w:spacing w:before="119"/>
        <w:ind w:left="142" w:right="6"/>
        <w:jc w:val="both"/>
        <w:rPr>
          <w:rFonts w:asciiTheme="majorHAnsi" w:hAnsiTheme="majorHAnsi"/>
        </w:rPr>
      </w:pPr>
      <w:r w:rsidRPr="00603830">
        <w:rPr>
          <w:rFonts w:asciiTheme="majorHAnsi" w:hAnsiTheme="majorHAnsi"/>
        </w:rPr>
        <w:t>All of the above Market sub-risks that are modelled in the internal model, should be filled in in these columns. This also holds for any of these sub-risks modelled outside of Market risk in the internal model (e.g. spread risk). If a risk is not modelled in the internal model, the column should be left blank and in row 16 of the ‘scenario request’, ‘Standard Formula’ should be selected.</w:t>
      </w:r>
    </w:p>
    <w:p w14:paraId="4BC7B531" w14:textId="77777777" w:rsidR="00603830" w:rsidRPr="00603830" w:rsidRDefault="00603830" w:rsidP="00603830">
      <w:pPr>
        <w:pStyle w:val="BodyText"/>
        <w:spacing w:before="119"/>
        <w:ind w:left="142" w:right="6"/>
        <w:jc w:val="both"/>
        <w:rPr>
          <w:rFonts w:asciiTheme="majorHAnsi" w:hAnsiTheme="majorHAnsi"/>
        </w:rPr>
      </w:pPr>
      <w:r w:rsidRPr="00603830">
        <w:rPr>
          <w:rFonts w:asciiTheme="majorHAnsi" w:hAnsiTheme="majorHAnsi"/>
        </w:rPr>
        <w:t xml:space="preserve">The column </w:t>
      </w:r>
      <w:r w:rsidRPr="00603830">
        <w:rPr>
          <w:rFonts w:asciiTheme="majorHAnsi" w:hAnsiTheme="majorHAnsi"/>
          <w:i/>
          <w:iCs/>
        </w:rPr>
        <w:t>Other Market risks including cross-terms</w:t>
      </w:r>
      <w:r w:rsidRPr="00603830">
        <w:rPr>
          <w:rFonts w:asciiTheme="majorHAnsi" w:hAnsiTheme="majorHAnsi"/>
        </w:rPr>
        <w:t xml:space="preserve"> should contain all modelled Market risks not covered by any of the sub-risks in any top-level risk (Market, Credit, Life, etc.). If the internal model includes cross-terms on the sub-risk level within Market risk, they should also be included in this column. If cross-terms are only modelled on the level of the top-risks these should not be allocated to this column in order to avoid double counting with column number 2 (</w:t>
      </w:r>
      <w:r w:rsidRPr="00603830">
        <w:rPr>
          <w:rFonts w:asciiTheme="majorHAnsi" w:hAnsiTheme="majorHAnsi"/>
          <w:i/>
          <w:iCs/>
        </w:rPr>
        <w:t>Cross-terms</w:t>
      </w:r>
      <w:r w:rsidRPr="00603830">
        <w:rPr>
          <w:rFonts w:asciiTheme="majorHAnsi" w:hAnsiTheme="majorHAnsi"/>
        </w:rPr>
        <w:t>).</w:t>
      </w:r>
    </w:p>
    <w:p w14:paraId="477EE42E" w14:textId="77777777" w:rsidR="00603830" w:rsidRPr="00603830" w:rsidRDefault="00603830" w:rsidP="00603830">
      <w:pPr>
        <w:pStyle w:val="BodyText"/>
        <w:spacing w:before="119"/>
        <w:ind w:left="142" w:right="6"/>
        <w:jc w:val="both"/>
        <w:rPr>
          <w:rFonts w:asciiTheme="majorHAnsi" w:hAnsiTheme="majorHAnsi"/>
          <w:highlight w:val="yellow"/>
        </w:rPr>
      </w:pPr>
    </w:p>
    <w:p w14:paraId="6A048835" w14:textId="77777777" w:rsidR="00603830" w:rsidRPr="00603830" w:rsidRDefault="00603830" w:rsidP="00603830">
      <w:pPr>
        <w:pStyle w:val="BodyText"/>
        <w:spacing w:before="119"/>
        <w:ind w:left="142" w:right="6" w:firstLine="720"/>
        <w:jc w:val="both"/>
        <w:rPr>
          <w:rFonts w:asciiTheme="majorHAnsi" w:hAnsiTheme="majorHAnsi"/>
          <w:i/>
        </w:rPr>
      </w:pPr>
      <w:r w:rsidRPr="00603830">
        <w:rPr>
          <w:rFonts w:asciiTheme="majorHAnsi" w:hAnsiTheme="majorHAnsi"/>
          <w:i/>
        </w:rPr>
        <w:t>Credit risk (column numbers 13-15)</w:t>
      </w:r>
    </w:p>
    <w:p w14:paraId="4AEA4EBE" w14:textId="77777777" w:rsidR="00603830" w:rsidRPr="00603830" w:rsidRDefault="00603830" w:rsidP="00603830">
      <w:pPr>
        <w:pStyle w:val="BodyText"/>
        <w:spacing w:before="119"/>
        <w:ind w:left="142" w:right="6"/>
        <w:jc w:val="both"/>
        <w:rPr>
          <w:rFonts w:asciiTheme="majorHAnsi" w:hAnsiTheme="majorHAnsi"/>
        </w:rPr>
      </w:pPr>
      <w:r w:rsidRPr="00603830">
        <w:rPr>
          <w:rFonts w:asciiTheme="majorHAnsi" w:hAnsiTheme="majorHAnsi"/>
        </w:rPr>
        <w:t xml:space="preserve">Credit risk is split into the following sub-risks: </w:t>
      </w:r>
      <w:r w:rsidRPr="00603830">
        <w:rPr>
          <w:rFonts w:asciiTheme="majorHAnsi" w:hAnsiTheme="majorHAnsi"/>
          <w:i/>
          <w:iCs/>
        </w:rPr>
        <w:t xml:space="preserve">Bond and loans, Reinsurance and derivatives </w:t>
      </w:r>
      <w:r w:rsidRPr="00603830">
        <w:rPr>
          <w:rFonts w:asciiTheme="majorHAnsi" w:hAnsiTheme="majorHAnsi"/>
        </w:rPr>
        <w:t xml:space="preserve">and </w:t>
      </w:r>
      <w:r w:rsidRPr="00603830">
        <w:rPr>
          <w:rFonts w:asciiTheme="majorHAnsi" w:hAnsiTheme="majorHAnsi"/>
          <w:i/>
          <w:iCs/>
        </w:rPr>
        <w:t xml:space="preserve">Other Credit risks including cross-terms. </w:t>
      </w:r>
      <w:r w:rsidRPr="00603830">
        <w:rPr>
          <w:rFonts w:asciiTheme="majorHAnsi" w:hAnsiTheme="majorHAnsi"/>
        </w:rPr>
        <w:t>The definition of each of these risks is given in Table 1.</w:t>
      </w:r>
    </w:p>
    <w:p w14:paraId="19DBA1AC" w14:textId="77777777" w:rsidR="00603830" w:rsidRPr="00603830" w:rsidRDefault="00603830" w:rsidP="00603830">
      <w:pPr>
        <w:pStyle w:val="BodyText"/>
        <w:spacing w:before="119"/>
        <w:ind w:left="142" w:right="6"/>
        <w:jc w:val="both"/>
        <w:rPr>
          <w:rFonts w:asciiTheme="majorHAnsi" w:hAnsiTheme="majorHAnsi"/>
        </w:rPr>
      </w:pPr>
      <w:r w:rsidRPr="00603830">
        <w:rPr>
          <w:rFonts w:asciiTheme="majorHAnsi" w:hAnsiTheme="majorHAnsi"/>
        </w:rPr>
        <w:t>All of the above Credit sub-risks that are modelled in the internal model, should be filled in in these columns. This also holds for any of these sub-risks modelled outside of Credit risk in the internal model. If a risk is not modelled in the internal model, the column should be left blank.</w:t>
      </w:r>
    </w:p>
    <w:p w14:paraId="19D60460" w14:textId="77777777" w:rsidR="00603830" w:rsidRPr="00603830" w:rsidRDefault="00603830" w:rsidP="00603830">
      <w:pPr>
        <w:pStyle w:val="BodyText"/>
        <w:spacing w:before="119"/>
        <w:ind w:left="142" w:right="6"/>
        <w:jc w:val="both"/>
        <w:rPr>
          <w:rFonts w:asciiTheme="majorHAnsi" w:hAnsiTheme="majorHAnsi"/>
        </w:rPr>
      </w:pPr>
      <w:r w:rsidRPr="00603830">
        <w:rPr>
          <w:rFonts w:asciiTheme="majorHAnsi" w:hAnsiTheme="majorHAnsi"/>
        </w:rPr>
        <w:t xml:space="preserve">The column </w:t>
      </w:r>
      <w:r w:rsidRPr="00603830">
        <w:rPr>
          <w:rFonts w:asciiTheme="majorHAnsi" w:hAnsiTheme="majorHAnsi"/>
          <w:i/>
          <w:iCs/>
        </w:rPr>
        <w:t>Other Credit risks including cross-terms</w:t>
      </w:r>
      <w:r w:rsidRPr="00603830">
        <w:rPr>
          <w:rFonts w:asciiTheme="majorHAnsi" w:hAnsiTheme="majorHAnsi"/>
        </w:rPr>
        <w:t xml:space="preserve"> should contain all modelled Credit risks not covered by any of the sub-risks in any top-level risk (Market, Credit, Life, etc.). If the internal model includes cross-terms on the sub-risk level within Credit risk, they should also be included in this column. If cross-terms are only modelled on the level of the top-risks these should not be allocated to this column in order to avoid double counting with column number 2 (</w:t>
      </w:r>
      <w:r w:rsidRPr="00603830">
        <w:rPr>
          <w:rFonts w:asciiTheme="majorHAnsi" w:hAnsiTheme="majorHAnsi"/>
          <w:i/>
          <w:iCs/>
        </w:rPr>
        <w:t>Cross-terms</w:t>
      </w:r>
      <w:r w:rsidRPr="00603830">
        <w:rPr>
          <w:rFonts w:asciiTheme="majorHAnsi" w:hAnsiTheme="majorHAnsi"/>
        </w:rPr>
        <w:t>).</w:t>
      </w:r>
    </w:p>
    <w:p w14:paraId="427295E4" w14:textId="77777777" w:rsidR="00603830" w:rsidRPr="00603830" w:rsidRDefault="00603830" w:rsidP="00603830">
      <w:pPr>
        <w:pStyle w:val="BodyText"/>
        <w:spacing w:before="119"/>
        <w:ind w:left="142" w:right="6"/>
        <w:jc w:val="both"/>
        <w:rPr>
          <w:rFonts w:asciiTheme="majorHAnsi" w:hAnsiTheme="majorHAnsi"/>
          <w:highlight w:val="yellow"/>
        </w:rPr>
      </w:pPr>
    </w:p>
    <w:p w14:paraId="40ED1C74" w14:textId="77777777" w:rsidR="00603830" w:rsidRPr="00603830" w:rsidRDefault="00603830" w:rsidP="00603830">
      <w:pPr>
        <w:pStyle w:val="BodyText"/>
        <w:spacing w:before="119"/>
        <w:ind w:left="142" w:right="6" w:firstLine="720"/>
        <w:jc w:val="both"/>
        <w:rPr>
          <w:rFonts w:asciiTheme="majorHAnsi" w:hAnsiTheme="majorHAnsi"/>
          <w:i/>
        </w:rPr>
      </w:pPr>
      <w:r w:rsidRPr="00603830">
        <w:rPr>
          <w:rFonts w:asciiTheme="majorHAnsi" w:hAnsiTheme="majorHAnsi"/>
          <w:i/>
        </w:rPr>
        <w:t>Life risk (column numbers 16-22)</w:t>
      </w:r>
    </w:p>
    <w:p w14:paraId="636952B3" w14:textId="77777777" w:rsidR="00603830" w:rsidRPr="00603830" w:rsidRDefault="00603830" w:rsidP="00603830">
      <w:pPr>
        <w:pStyle w:val="BodyText"/>
        <w:spacing w:before="119"/>
        <w:ind w:left="142" w:right="6"/>
        <w:jc w:val="both"/>
        <w:rPr>
          <w:rFonts w:asciiTheme="majorHAnsi" w:hAnsiTheme="majorHAnsi"/>
        </w:rPr>
      </w:pPr>
      <w:r w:rsidRPr="00603830">
        <w:rPr>
          <w:rFonts w:asciiTheme="majorHAnsi" w:hAnsiTheme="majorHAnsi"/>
        </w:rPr>
        <w:t xml:space="preserve">Life underwriting risk is split into the following sub-risks: </w:t>
      </w:r>
      <w:r w:rsidRPr="00603830">
        <w:rPr>
          <w:rFonts w:asciiTheme="majorHAnsi" w:hAnsiTheme="majorHAnsi"/>
          <w:i/>
        </w:rPr>
        <w:t xml:space="preserve">Mortality &amp; Longevity risk combined aggregate, lapse risk aggregate, life expense risk, life catastrophe risk, disability morbidity risk, life revision risk, other life risk including cross terms. </w:t>
      </w:r>
      <w:r w:rsidRPr="00603830">
        <w:rPr>
          <w:rFonts w:asciiTheme="majorHAnsi" w:hAnsiTheme="majorHAnsi"/>
        </w:rPr>
        <w:t xml:space="preserve">The definition of these risks is given in Table 1. </w:t>
      </w:r>
    </w:p>
    <w:p w14:paraId="5A967E95" w14:textId="77777777" w:rsidR="00603830" w:rsidRPr="00603830" w:rsidRDefault="00603830" w:rsidP="00603830">
      <w:pPr>
        <w:pStyle w:val="BodyText"/>
        <w:spacing w:before="119"/>
        <w:ind w:left="142" w:right="6"/>
        <w:jc w:val="both"/>
        <w:rPr>
          <w:rFonts w:asciiTheme="majorHAnsi" w:hAnsiTheme="majorHAnsi"/>
        </w:rPr>
      </w:pPr>
      <w:r w:rsidRPr="00603830">
        <w:rPr>
          <w:rFonts w:asciiTheme="majorHAnsi" w:hAnsiTheme="majorHAnsi"/>
        </w:rPr>
        <w:t xml:space="preserve">All of the above Life sub-risks that are modeled in the internal model, should be filled in in these columns. Is a </w:t>
      </w:r>
      <w:r w:rsidRPr="00603830">
        <w:rPr>
          <w:rFonts w:asciiTheme="majorHAnsi" w:hAnsiTheme="majorHAnsi"/>
        </w:rPr>
        <w:lastRenderedPageBreak/>
        <w:t xml:space="preserve">risk is not modeled in the internal model, the column should be left blank. The column </w:t>
      </w:r>
      <w:r w:rsidRPr="00603830">
        <w:rPr>
          <w:rFonts w:asciiTheme="majorHAnsi" w:hAnsiTheme="majorHAnsi"/>
          <w:i/>
        </w:rPr>
        <w:t xml:space="preserve">Other life risks including cross terms </w:t>
      </w:r>
      <w:r w:rsidRPr="00603830">
        <w:rPr>
          <w:rFonts w:asciiTheme="majorHAnsi" w:hAnsiTheme="majorHAnsi"/>
        </w:rPr>
        <w:t>should contain all modelled Life risks, not covered by any of the sub-risks in any top-level risk (Market, Credit, Non-Life, Health etc.). If the internal model includes cross-terms on the sub-risk level within Life risk, they should also be included in this column. If cross-terms are only modelled on the level of the top-risks these should not be allocated to this column in order to avoid double counting with column number 2 (</w:t>
      </w:r>
      <w:r w:rsidRPr="00603830">
        <w:rPr>
          <w:rFonts w:asciiTheme="majorHAnsi" w:hAnsiTheme="majorHAnsi"/>
          <w:i/>
          <w:iCs/>
        </w:rPr>
        <w:t>Cross-terms</w:t>
      </w:r>
      <w:r w:rsidRPr="00603830">
        <w:rPr>
          <w:rFonts w:asciiTheme="majorHAnsi" w:hAnsiTheme="majorHAnsi"/>
        </w:rPr>
        <w:t>).</w:t>
      </w:r>
    </w:p>
    <w:p w14:paraId="5A830700" w14:textId="77777777" w:rsidR="00603830" w:rsidRPr="00603830" w:rsidRDefault="00603830" w:rsidP="00603830">
      <w:pPr>
        <w:pStyle w:val="BodyText"/>
        <w:spacing w:before="119"/>
        <w:ind w:left="142" w:right="6"/>
        <w:jc w:val="both"/>
        <w:rPr>
          <w:rFonts w:asciiTheme="majorHAnsi" w:hAnsiTheme="majorHAnsi"/>
          <w:highlight w:val="yellow"/>
        </w:rPr>
      </w:pPr>
    </w:p>
    <w:p w14:paraId="6FB061EA" w14:textId="77777777" w:rsidR="00603830" w:rsidRPr="00603830" w:rsidRDefault="00603830" w:rsidP="00603830">
      <w:pPr>
        <w:pStyle w:val="BodyText"/>
        <w:spacing w:before="119"/>
        <w:ind w:left="142" w:right="6" w:firstLine="720"/>
        <w:jc w:val="both"/>
        <w:rPr>
          <w:rFonts w:asciiTheme="majorHAnsi" w:hAnsiTheme="majorHAnsi"/>
          <w:i/>
        </w:rPr>
      </w:pPr>
      <w:r w:rsidRPr="00603830">
        <w:rPr>
          <w:rFonts w:asciiTheme="majorHAnsi" w:hAnsiTheme="majorHAnsi"/>
          <w:i/>
        </w:rPr>
        <w:t>Health risk (column numbers 23-29)</w:t>
      </w:r>
    </w:p>
    <w:p w14:paraId="5CA942D2" w14:textId="77777777" w:rsidR="00603830" w:rsidRPr="00603830" w:rsidRDefault="00603830" w:rsidP="00603830">
      <w:pPr>
        <w:pStyle w:val="BodyText"/>
        <w:spacing w:before="119"/>
        <w:ind w:left="142" w:right="6"/>
        <w:jc w:val="both"/>
        <w:rPr>
          <w:rFonts w:asciiTheme="majorHAnsi" w:hAnsiTheme="majorHAnsi"/>
        </w:rPr>
      </w:pPr>
      <w:r w:rsidRPr="00603830">
        <w:rPr>
          <w:rFonts w:asciiTheme="majorHAnsi" w:hAnsiTheme="majorHAnsi"/>
        </w:rPr>
        <w:t xml:space="preserve">Health underwriting risk is split into: </w:t>
      </w:r>
      <w:r w:rsidRPr="00603830">
        <w:rPr>
          <w:rFonts w:asciiTheme="majorHAnsi" w:hAnsiTheme="majorHAnsi"/>
          <w:i/>
        </w:rPr>
        <w:t xml:space="preserve">Standardised aggregate health, health NSLT reserve risk, health NSLT premium risk, life underwriting risks health liabilities, health catastrophe risk, overhead expense risk, and other health underwriting risks. </w:t>
      </w:r>
      <w:r w:rsidRPr="00603830">
        <w:rPr>
          <w:rFonts w:asciiTheme="majorHAnsi" w:hAnsiTheme="majorHAnsi"/>
        </w:rPr>
        <w:t xml:space="preserve">The definition of these risks is give in Table 1. </w:t>
      </w:r>
    </w:p>
    <w:p w14:paraId="64755305" w14:textId="77777777" w:rsidR="00603830" w:rsidRPr="00603830" w:rsidRDefault="00603830" w:rsidP="00603830">
      <w:pPr>
        <w:pStyle w:val="BodyText"/>
        <w:spacing w:before="119"/>
        <w:ind w:left="142" w:right="6"/>
        <w:jc w:val="both"/>
        <w:rPr>
          <w:rFonts w:asciiTheme="majorHAnsi" w:hAnsiTheme="majorHAnsi"/>
        </w:rPr>
      </w:pPr>
      <w:r w:rsidRPr="00603830">
        <w:rPr>
          <w:rFonts w:asciiTheme="majorHAnsi" w:hAnsiTheme="majorHAnsi"/>
        </w:rPr>
        <w:t xml:space="preserve">All of the above Health sub-risk modules that are modeled in the internal model, should be filled in in these columns. If a risk is not modeled in the internal model, the column should be left blank. The column </w:t>
      </w:r>
      <w:r w:rsidRPr="00603830">
        <w:rPr>
          <w:rFonts w:asciiTheme="majorHAnsi" w:hAnsiTheme="majorHAnsi"/>
          <w:i/>
        </w:rPr>
        <w:t xml:space="preserve">Other health risks </w:t>
      </w:r>
      <w:r w:rsidRPr="00603830">
        <w:rPr>
          <w:rFonts w:asciiTheme="majorHAnsi" w:hAnsiTheme="majorHAnsi"/>
        </w:rPr>
        <w:t>should contain all modelled Health risks, not covered by any of the sub-risks in any top-level risk (Market, Credit, Non-Life, Life etc.).</w:t>
      </w:r>
    </w:p>
    <w:p w14:paraId="03FED3C4" w14:textId="77777777" w:rsidR="00603830" w:rsidRPr="00603830" w:rsidRDefault="00603830" w:rsidP="00603830">
      <w:pPr>
        <w:pStyle w:val="BodyText"/>
        <w:spacing w:before="119"/>
        <w:ind w:left="142" w:right="6"/>
        <w:jc w:val="both"/>
        <w:rPr>
          <w:rFonts w:asciiTheme="majorHAnsi" w:hAnsiTheme="majorHAnsi"/>
        </w:rPr>
      </w:pPr>
    </w:p>
    <w:p w14:paraId="620EBDB9" w14:textId="77777777" w:rsidR="00603830" w:rsidRPr="00603830" w:rsidRDefault="00603830" w:rsidP="00603830">
      <w:pPr>
        <w:pStyle w:val="BodyText"/>
        <w:spacing w:before="119"/>
        <w:ind w:left="142" w:right="6" w:firstLine="720"/>
        <w:jc w:val="both"/>
        <w:rPr>
          <w:rFonts w:asciiTheme="majorHAnsi" w:hAnsiTheme="majorHAnsi"/>
          <w:i/>
        </w:rPr>
      </w:pPr>
      <w:r w:rsidRPr="00603830">
        <w:rPr>
          <w:rFonts w:asciiTheme="majorHAnsi" w:hAnsiTheme="majorHAnsi"/>
          <w:i/>
        </w:rPr>
        <w:t>Non-Life risk (column numbers 30-35)</w:t>
      </w:r>
    </w:p>
    <w:p w14:paraId="6A9152E6" w14:textId="77777777" w:rsidR="00603830" w:rsidRPr="00603830" w:rsidRDefault="00603830" w:rsidP="00603830">
      <w:pPr>
        <w:pStyle w:val="BodyText"/>
        <w:spacing w:before="119"/>
        <w:ind w:left="142" w:right="6"/>
        <w:jc w:val="both"/>
        <w:rPr>
          <w:rFonts w:asciiTheme="majorHAnsi" w:hAnsiTheme="majorHAnsi"/>
        </w:rPr>
      </w:pPr>
      <w:r w:rsidRPr="00603830">
        <w:rPr>
          <w:rFonts w:asciiTheme="majorHAnsi" w:hAnsiTheme="majorHAnsi"/>
        </w:rPr>
        <w:t xml:space="preserve">Non-Life underwriting risk is split into: </w:t>
      </w:r>
      <w:r w:rsidRPr="00603830">
        <w:rPr>
          <w:rFonts w:asciiTheme="majorHAnsi" w:hAnsiTheme="majorHAnsi"/>
          <w:i/>
        </w:rPr>
        <w:t xml:space="preserve">Standardised Aggregate Non-Life, Non-Life reserve risk, Non-life premium risk, natural catastrophe risk, overhead expense risk non-life liabilities and other non-life underwriting risks. </w:t>
      </w:r>
      <w:r w:rsidRPr="00603830">
        <w:rPr>
          <w:rFonts w:asciiTheme="majorHAnsi" w:hAnsiTheme="majorHAnsi"/>
        </w:rPr>
        <w:t>If an undertaking already takes part in the NLCS study, then only the standardised aggregate non-life column should be filled in, which should coincide with the output from the NLCS study. In case there is no participation in the NLCS, all of the above risks should be filled in for the scope of the Internal Model. A definition of these risks is given in table 1.</w:t>
      </w:r>
    </w:p>
    <w:p w14:paraId="64262296" w14:textId="77777777" w:rsidR="00603830" w:rsidRPr="00603830" w:rsidRDefault="00603830" w:rsidP="00603830">
      <w:pPr>
        <w:pStyle w:val="BodyText"/>
        <w:spacing w:before="119"/>
        <w:ind w:left="142" w:right="6"/>
        <w:jc w:val="both"/>
        <w:rPr>
          <w:rFonts w:asciiTheme="majorHAnsi" w:hAnsiTheme="majorHAnsi"/>
        </w:rPr>
      </w:pPr>
    </w:p>
    <w:p w14:paraId="2609B6F3" w14:textId="77777777" w:rsidR="00603830" w:rsidRPr="00603830" w:rsidRDefault="00603830" w:rsidP="00603830">
      <w:pPr>
        <w:pStyle w:val="BodyText"/>
        <w:spacing w:before="119"/>
        <w:ind w:left="142" w:right="6" w:firstLine="720"/>
        <w:jc w:val="both"/>
        <w:rPr>
          <w:rFonts w:asciiTheme="majorHAnsi" w:hAnsiTheme="majorHAnsi"/>
          <w:i/>
        </w:rPr>
      </w:pPr>
      <w:r w:rsidRPr="00603830">
        <w:rPr>
          <w:rFonts w:asciiTheme="majorHAnsi" w:hAnsiTheme="majorHAnsi"/>
          <w:i/>
        </w:rPr>
        <w:t>Operational risk (column 36)</w:t>
      </w:r>
    </w:p>
    <w:p w14:paraId="5DBC55AD" w14:textId="77777777" w:rsidR="00603830" w:rsidRPr="00603830" w:rsidRDefault="00603830" w:rsidP="00603830">
      <w:pPr>
        <w:pStyle w:val="BodyText"/>
        <w:spacing w:before="119"/>
        <w:ind w:left="142" w:right="6"/>
        <w:jc w:val="both"/>
        <w:rPr>
          <w:rFonts w:asciiTheme="majorHAnsi" w:hAnsiTheme="majorHAnsi"/>
        </w:rPr>
      </w:pPr>
      <w:r w:rsidRPr="00603830">
        <w:rPr>
          <w:rFonts w:asciiTheme="majorHAnsi" w:hAnsiTheme="majorHAnsi"/>
        </w:rPr>
        <w:t xml:space="preserve">The column ‘Operational risks’ contains the scenarios of the P&amp;L distribution over the operational sub risk. A definition is given in table 1. </w:t>
      </w:r>
    </w:p>
    <w:p w14:paraId="1D2FC00A" w14:textId="77777777" w:rsidR="00603830" w:rsidRPr="00603830" w:rsidRDefault="00603830" w:rsidP="00603830">
      <w:pPr>
        <w:pStyle w:val="BodyText"/>
        <w:spacing w:before="119"/>
        <w:ind w:left="142" w:right="6"/>
        <w:jc w:val="both"/>
        <w:rPr>
          <w:rFonts w:asciiTheme="majorHAnsi" w:hAnsiTheme="majorHAnsi"/>
        </w:rPr>
      </w:pPr>
    </w:p>
    <w:p w14:paraId="4BE71294" w14:textId="77777777" w:rsidR="00603830" w:rsidRPr="00603830" w:rsidRDefault="00603830" w:rsidP="00603830">
      <w:pPr>
        <w:pStyle w:val="BodyText"/>
        <w:spacing w:before="119"/>
        <w:ind w:left="142" w:right="6" w:firstLine="720"/>
        <w:jc w:val="both"/>
        <w:rPr>
          <w:rFonts w:asciiTheme="majorHAnsi" w:hAnsiTheme="majorHAnsi"/>
          <w:i/>
        </w:rPr>
      </w:pPr>
      <w:r w:rsidRPr="00603830">
        <w:rPr>
          <w:rFonts w:asciiTheme="majorHAnsi" w:hAnsiTheme="majorHAnsi"/>
          <w:i/>
        </w:rPr>
        <w:t>Other risks (column number 37)</w:t>
      </w:r>
    </w:p>
    <w:p w14:paraId="7AC09486" w14:textId="77777777" w:rsidR="00603830" w:rsidRPr="00603830" w:rsidRDefault="00603830" w:rsidP="00603830">
      <w:pPr>
        <w:pStyle w:val="BodyText"/>
        <w:spacing w:before="119"/>
        <w:ind w:left="142" w:right="6"/>
        <w:jc w:val="both"/>
        <w:rPr>
          <w:rFonts w:asciiTheme="majorHAnsi" w:hAnsiTheme="majorHAnsi"/>
        </w:rPr>
      </w:pPr>
      <w:r w:rsidRPr="00603830">
        <w:rPr>
          <w:rFonts w:asciiTheme="majorHAnsi" w:hAnsiTheme="majorHAnsi"/>
        </w:rPr>
        <w:t xml:space="preserve">The ‘Other Risks’ are comprise the risks that cannot be attributed to any of the other risks as described above. In the qualitative template an explanation can be provided which risks are reflected under ‘other’. </w:t>
      </w:r>
    </w:p>
    <w:p w14:paraId="4057C2D0" w14:textId="34F1472B" w:rsidR="006E4F37" w:rsidRPr="006E4F37" w:rsidRDefault="006E4F37" w:rsidP="006E4F37">
      <w:pPr>
        <w:ind w:right="951"/>
        <w:jc w:val="both"/>
      </w:pPr>
    </w:p>
    <w:p w14:paraId="07D22151" w14:textId="77777777" w:rsidR="00267449" w:rsidRPr="00C062B9" w:rsidRDefault="00267449" w:rsidP="00E93EAE">
      <w:pPr>
        <w:pStyle w:val="BodyText"/>
        <w:spacing w:before="119"/>
        <w:ind w:right="951"/>
        <w:jc w:val="both"/>
      </w:pPr>
    </w:p>
    <w:p w14:paraId="0B4590DE" w14:textId="41A957C5" w:rsidR="0013206A" w:rsidRDefault="0013206A" w:rsidP="00E93EAE">
      <w:pPr>
        <w:pStyle w:val="Heading1"/>
        <w:numPr>
          <w:ilvl w:val="0"/>
          <w:numId w:val="13"/>
        </w:numPr>
        <w:spacing w:before="174"/>
        <w:ind w:left="567" w:right="951" w:hanging="567"/>
        <w:jc w:val="both"/>
      </w:pPr>
      <w:bookmarkStart w:id="14" w:name="_Toc47537715"/>
      <w:bookmarkStart w:id="15" w:name="_Toc83725816"/>
      <w:r>
        <w:t>Deadline and practical aspects of filling out the data</w:t>
      </w:r>
      <w:r w:rsidRPr="0013206A">
        <w:t xml:space="preserve"> </w:t>
      </w:r>
      <w:r>
        <w:t>request</w:t>
      </w:r>
      <w:bookmarkEnd w:id="14"/>
      <w:bookmarkEnd w:id="15"/>
    </w:p>
    <w:p w14:paraId="06D355D7" w14:textId="77777777" w:rsidR="0013206A" w:rsidRDefault="0013206A" w:rsidP="00E93EAE">
      <w:pPr>
        <w:pStyle w:val="BodyText"/>
        <w:spacing w:before="4"/>
        <w:ind w:right="951"/>
        <w:jc w:val="both"/>
        <w:rPr>
          <w:b/>
          <w:sz w:val="20"/>
        </w:rPr>
      </w:pPr>
    </w:p>
    <w:p w14:paraId="1056F408" w14:textId="77777777" w:rsidR="00603830" w:rsidRPr="00603830" w:rsidRDefault="00603830" w:rsidP="00603830">
      <w:pPr>
        <w:spacing w:before="1"/>
        <w:ind w:left="113" w:right="6"/>
        <w:jc w:val="both"/>
        <w:rPr>
          <w:rFonts w:asciiTheme="majorHAnsi" w:hAnsiTheme="majorHAnsi"/>
          <w:i/>
        </w:rPr>
      </w:pPr>
      <w:r w:rsidRPr="00603830">
        <w:rPr>
          <w:rFonts w:asciiTheme="majorHAnsi" w:hAnsiTheme="majorHAnsi"/>
          <w:i/>
        </w:rPr>
        <w:t>Deadline</w:t>
      </w:r>
    </w:p>
    <w:p w14:paraId="72DC8822" w14:textId="77777777" w:rsidR="00603830" w:rsidRPr="00603830" w:rsidRDefault="00603830" w:rsidP="00603830">
      <w:pPr>
        <w:spacing w:before="121"/>
        <w:ind w:left="113" w:right="6"/>
        <w:jc w:val="both"/>
        <w:rPr>
          <w:rFonts w:asciiTheme="majorHAnsi" w:hAnsiTheme="majorHAnsi"/>
        </w:rPr>
      </w:pPr>
      <w:r w:rsidRPr="00603830">
        <w:rPr>
          <w:rFonts w:asciiTheme="majorHAnsi" w:hAnsiTheme="majorHAnsi"/>
        </w:rPr>
        <w:t xml:space="preserve">Final deadline for all submissions: </w:t>
      </w:r>
      <w:r w:rsidRPr="00603830">
        <w:rPr>
          <w:rFonts w:asciiTheme="majorHAnsi" w:hAnsiTheme="majorHAnsi"/>
          <w:u w:val="single" w:color="FF0000"/>
        </w:rPr>
        <w:t>10 January 2022</w:t>
      </w:r>
      <w:r w:rsidRPr="00603830">
        <w:rPr>
          <w:rFonts w:asciiTheme="majorHAnsi" w:hAnsiTheme="majorHAnsi"/>
        </w:rPr>
        <w:t>. In case you have severe restrictions, please liaise with your supervisor to get additional support or discuss deadline flexibility</w:t>
      </w:r>
      <w:r w:rsidRPr="00603830">
        <w:rPr>
          <w:rStyle w:val="FootnoteReference"/>
          <w:rFonts w:asciiTheme="majorHAnsi" w:hAnsiTheme="majorHAnsi"/>
        </w:rPr>
        <w:footnoteReference w:id="3"/>
      </w:r>
      <w:r w:rsidRPr="00603830">
        <w:rPr>
          <w:rFonts w:asciiTheme="majorHAnsi" w:hAnsiTheme="majorHAnsi"/>
        </w:rPr>
        <w:t>.</w:t>
      </w:r>
    </w:p>
    <w:p w14:paraId="115F6728" w14:textId="77777777" w:rsidR="00603830" w:rsidRPr="00603830" w:rsidRDefault="00603830" w:rsidP="00603830">
      <w:pPr>
        <w:pStyle w:val="BodyText"/>
        <w:spacing w:before="119"/>
        <w:ind w:left="113" w:right="6"/>
        <w:jc w:val="both"/>
        <w:rPr>
          <w:rFonts w:asciiTheme="majorHAnsi" w:hAnsiTheme="majorHAnsi"/>
        </w:rPr>
      </w:pPr>
      <w:r w:rsidRPr="00603830">
        <w:rPr>
          <w:rFonts w:asciiTheme="majorHAnsi" w:hAnsiTheme="majorHAnsi"/>
        </w:rPr>
        <w:t>However, undertakings are invited to provide their (group) supervisor with the answers to the data request as soon as possible.</w:t>
      </w:r>
    </w:p>
    <w:p w14:paraId="1405251A" w14:textId="77777777" w:rsidR="00603830" w:rsidRPr="00603830" w:rsidRDefault="00603830" w:rsidP="00603830">
      <w:pPr>
        <w:pStyle w:val="BodyText"/>
        <w:spacing w:before="5"/>
        <w:ind w:right="6"/>
        <w:jc w:val="both"/>
        <w:rPr>
          <w:rFonts w:asciiTheme="majorHAnsi" w:hAnsiTheme="majorHAnsi"/>
          <w:sz w:val="20"/>
        </w:rPr>
      </w:pPr>
    </w:p>
    <w:p w14:paraId="246D196F" w14:textId="77777777" w:rsidR="00603830" w:rsidRPr="00603830" w:rsidRDefault="00603830" w:rsidP="00603830">
      <w:pPr>
        <w:pStyle w:val="BodyText"/>
        <w:spacing w:before="5"/>
        <w:ind w:right="6"/>
        <w:jc w:val="both"/>
        <w:rPr>
          <w:rFonts w:asciiTheme="majorHAnsi" w:hAnsiTheme="majorHAnsi"/>
          <w:sz w:val="20"/>
        </w:rPr>
      </w:pPr>
    </w:p>
    <w:p w14:paraId="087579A4" w14:textId="77777777" w:rsidR="00603830" w:rsidRPr="00603830" w:rsidRDefault="00603830" w:rsidP="00603830">
      <w:pPr>
        <w:ind w:left="113" w:right="6"/>
        <w:jc w:val="both"/>
        <w:rPr>
          <w:rFonts w:asciiTheme="majorHAnsi" w:hAnsiTheme="majorHAnsi"/>
          <w:i/>
        </w:rPr>
      </w:pPr>
      <w:r w:rsidRPr="00603830">
        <w:rPr>
          <w:rFonts w:asciiTheme="majorHAnsi" w:hAnsiTheme="majorHAnsi"/>
          <w:i/>
        </w:rPr>
        <w:t>Data quality</w:t>
      </w:r>
    </w:p>
    <w:p w14:paraId="1DC8328A" w14:textId="77777777" w:rsidR="00603830" w:rsidRPr="00603830" w:rsidRDefault="00603830" w:rsidP="00603830">
      <w:pPr>
        <w:pStyle w:val="BodyText"/>
        <w:spacing w:before="122" w:line="242" w:lineRule="auto"/>
        <w:ind w:left="113" w:right="6"/>
        <w:jc w:val="both"/>
        <w:rPr>
          <w:rFonts w:asciiTheme="majorHAnsi" w:hAnsiTheme="majorHAnsi"/>
        </w:rPr>
      </w:pPr>
      <w:r w:rsidRPr="00603830">
        <w:rPr>
          <w:rFonts w:asciiTheme="majorHAnsi" w:hAnsiTheme="majorHAnsi"/>
        </w:rPr>
        <w:t xml:space="preserve">Please note that undertakings are expected to verify the correctness of their response to this data request before handing in their answers. Therefore, the undertakings are expected to verify that the tests included in the </w:t>
      </w:r>
      <w:r w:rsidRPr="00603830">
        <w:rPr>
          <w:rFonts w:asciiTheme="majorHAnsi" w:hAnsiTheme="majorHAnsi"/>
        </w:rPr>
        <w:lastRenderedPageBreak/>
        <w:t xml:space="preserve">validation check </w:t>
      </w:r>
      <w:r w:rsidRPr="00603830">
        <w:rPr>
          <w:rFonts w:asciiTheme="majorHAnsi" w:hAnsiTheme="majorHAnsi"/>
          <w:u w:val="single"/>
        </w:rPr>
        <w:t>spreadsheet</w:t>
      </w:r>
      <w:r w:rsidRPr="00603830">
        <w:rPr>
          <w:rFonts w:asciiTheme="majorHAnsi" w:hAnsiTheme="majorHAnsi"/>
        </w:rPr>
        <w:t xml:space="preserve"> pass.</w:t>
      </w:r>
    </w:p>
    <w:p w14:paraId="2447A72F" w14:textId="77777777" w:rsidR="00603830" w:rsidRPr="00603830" w:rsidRDefault="00603830" w:rsidP="00603830">
      <w:pPr>
        <w:spacing w:before="233"/>
        <w:ind w:left="113" w:right="6"/>
        <w:jc w:val="both"/>
        <w:rPr>
          <w:rFonts w:asciiTheme="majorHAnsi" w:hAnsiTheme="majorHAnsi"/>
          <w:i/>
        </w:rPr>
      </w:pPr>
    </w:p>
    <w:p w14:paraId="6BE581C0" w14:textId="77777777" w:rsidR="00603830" w:rsidRPr="00603830" w:rsidRDefault="00603830" w:rsidP="00603830">
      <w:pPr>
        <w:spacing w:before="233"/>
        <w:ind w:left="113" w:right="6"/>
        <w:jc w:val="both"/>
        <w:rPr>
          <w:rFonts w:asciiTheme="majorHAnsi" w:hAnsiTheme="majorHAnsi"/>
          <w:i/>
        </w:rPr>
      </w:pPr>
      <w:r w:rsidRPr="00603830">
        <w:rPr>
          <w:rFonts w:asciiTheme="majorHAnsi" w:hAnsiTheme="majorHAnsi"/>
          <w:i/>
        </w:rPr>
        <w:t>Number format</w:t>
      </w:r>
    </w:p>
    <w:p w14:paraId="5EAF8E1F" w14:textId="77777777" w:rsidR="00603830" w:rsidRPr="00603830" w:rsidRDefault="00603830" w:rsidP="00603830">
      <w:pPr>
        <w:pStyle w:val="BodyText"/>
        <w:ind w:left="113" w:right="6"/>
        <w:jc w:val="both"/>
        <w:rPr>
          <w:rStyle w:val="tlid-translation"/>
          <w:rFonts w:asciiTheme="majorHAnsi" w:hAnsiTheme="majorHAnsi"/>
          <w:lang w:val="en"/>
        </w:rPr>
      </w:pPr>
      <w:r w:rsidRPr="00603830">
        <w:rPr>
          <w:rStyle w:val="tlid-translation"/>
          <w:rFonts w:asciiTheme="majorHAnsi" w:hAnsiTheme="majorHAnsi"/>
          <w:lang w:val="en"/>
        </w:rPr>
        <w:t>The economic quantities must be indicated in the unit of the currency used. Do not use data in thousands, millions, etc…</w:t>
      </w:r>
    </w:p>
    <w:p w14:paraId="0B2C024F" w14:textId="77777777" w:rsidR="00CE31F4" w:rsidRPr="00603830" w:rsidRDefault="00CE31F4" w:rsidP="00603830">
      <w:pPr>
        <w:spacing w:before="1"/>
        <w:ind w:left="113" w:right="951"/>
        <w:jc w:val="both"/>
        <w:rPr>
          <w:rFonts w:asciiTheme="majorHAnsi" w:hAnsiTheme="majorHAnsi"/>
          <w:color w:val="000000" w:themeColor="text1"/>
        </w:rPr>
      </w:pPr>
      <w:bookmarkStart w:id="16" w:name="_GoBack"/>
      <w:bookmarkEnd w:id="16"/>
    </w:p>
    <w:sectPr w:rsidR="00CE31F4" w:rsidRPr="00603830">
      <w:footerReference w:type="default" r:id="rId13"/>
      <w:pgSz w:w="11910" w:h="16850"/>
      <w:pgMar w:top="1060" w:right="300" w:bottom="780" w:left="1020" w:header="0" w:footer="5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B8CF6" w14:textId="77777777" w:rsidR="006E5C84" w:rsidRDefault="006E5C84">
      <w:r>
        <w:separator/>
      </w:r>
    </w:p>
  </w:endnote>
  <w:endnote w:type="continuationSeparator" w:id="0">
    <w:p w14:paraId="3E88EBCB" w14:textId="77777777" w:rsidR="006E5C84" w:rsidRDefault="006E5C84">
      <w:r>
        <w:continuationSeparator/>
      </w:r>
    </w:p>
  </w:endnote>
  <w:endnote w:type="continuationNotice" w:id="1">
    <w:p w14:paraId="69DC82E1" w14:textId="77777777" w:rsidR="006E5C84" w:rsidRDefault="006E5C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AC508" w14:textId="74FBAB30" w:rsidR="007B14CC" w:rsidRDefault="007B14CC">
    <w:pPr>
      <w:pStyle w:val="Footer"/>
      <w:jc w:val="center"/>
    </w:pPr>
  </w:p>
  <w:sdt>
    <w:sdtPr>
      <w:id w:val="-1193138470"/>
      <w:docPartObj>
        <w:docPartGallery w:val="Page Numbers (Bottom of Page)"/>
        <w:docPartUnique/>
      </w:docPartObj>
    </w:sdtPr>
    <w:sdtEndPr/>
    <w:sdtContent>
      <w:sdt>
        <w:sdtPr>
          <w:id w:val="-1705238520"/>
          <w:docPartObj>
            <w:docPartGallery w:val="Page Numbers (Top of Page)"/>
            <w:docPartUnique/>
          </w:docPartObj>
        </w:sdtPr>
        <w:sdtEndPr/>
        <w:sdtContent>
          <w:p w14:paraId="46A8D45D" w14:textId="2AFD5268" w:rsidR="007B14CC" w:rsidRDefault="007B14CC" w:rsidP="008B75A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0383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03830">
              <w:rPr>
                <w:b/>
                <w:bCs/>
                <w:noProof/>
              </w:rPr>
              <w:t>11</w:t>
            </w:r>
            <w:r>
              <w:rPr>
                <w:b/>
                <w:bCs/>
                <w:sz w:val="24"/>
                <w:szCs w:val="24"/>
              </w:rPr>
              <w:fldChar w:fldCharType="end"/>
            </w:r>
          </w:p>
        </w:sdtContent>
      </w:sdt>
    </w:sdtContent>
  </w:sdt>
  <w:p w14:paraId="3E6BB059" w14:textId="1A799DD6" w:rsidR="007B14CC" w:rsidRDefault="007B14C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71798" w14:textId="77777777" w:rsidR="006E5C84" w:rsidRDefault="006E5C84">
      <w:r>
        <w:separator/>
      </w:r>
    </w:p>
  </w:footnote>
  <w:footnote w:type="continuationSeparator" w:id="0">
    <w:p w14:paraId="4F12D31C" w14:textId="77777777" w:rsidR="006E5C84" w:rsidRDefault="006E5C84">
      <w:r>
        <w:continuationSeparator/>
      </w:r>
    </w:p>
  </w:footnote>
  <w:footnote w:type="continuationNotice" w:id="1">
    <w:p w14:paraId="5F61B999" w14:textId="77777777" w:rsidR="006E5C84" w:rsidRDefault="006E5C84"/>
  </w:footnote>
  <w:footnote w:id="2">
    <w:p w14:paraId="60BFAD91" w14:textId="77777777" w:rsidR="00603830" w:rsidRPr="00DF0457" w:rsidRDefault="00603830" w:rsidP="00603830">
      <w:pPr>
        <w:pStyle w:val="FootnoteText"/>
        <w:rPr>
          <w:lang w:val="en-GB"/>
        </w:rPr>
      </w:pPr>
      <w:r>
        <w:rPr>
          <w:rStyle w:val="FootnoteReference"/>
        </w:rPr>
        <w:footnoteRef/>
      </w:r>
      <w:r>
        <w:t xml:space="preserve"> </w:t>
      </w:r>
      <w:r w:rsidRPr="00332FFE">
        <w:t>https://www.eiopa.europa.eu/content/preparation-internal-model-applications%E2%80%8B%E2%80%8B_en?source=search</w:t>
      </w:r>
    </w:p>
  </w:footnote>
  <w:footnote w:id="3">
    <w:p w14:paraId="0FEC2058" w14:textId="77777777" w:rsidR="00603830" w:rsidRPr="000829BF" w:rsidRDefault="00603830" w:rsidP="00603830">
      <w:pPr>
        <w:pStyle w:val="FootnoteText"/>
      </w:pPr>
      <w:r>
        <w:rPr>
          <w:rStyle w:val="FootnoteReference"/>
        </w:rPr>
        <w:footnoteRef/>
      </w:r>
      <w:r w:rsidRPr="000829BF">
        <w:t>Please note that regarding any relevant change in the deadline, the decision will have to be discussed with the EIOPA Diversification Project Group to ensure that the overall project schedule is not materially impaired.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662EF8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E35B8"/>
    <w:multiLevelType w:val="hybridMultilevel"/>
    <w:tmpl w:val="42A40C74"/>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01A42F77"/>
    <w:multiLevelType w:val="hybridMultilevel"/>
    <w:tmpl w:val="5014A952"/>
    <w:lvl w:ilvl="0" w:tplc="0813000F">
      <w:start w:val="1"/>
      <w:numFmt w:val="decimal"/>
      <w:lvlText w:val="%1."/>
      <w:lvlJc w:val="left"/>
      <w:pPr>
        <w:ind w:left="833" w:hanging="360"/>
      </w:pPr>
    </w:lvl>
    <w:lvl w:ilvl="1" w:tplc="08130019" w:tentative="1">
      <w:start w:val="1"/>
      <w:numFmt w:val="lowerLetter"/>
      <w:lvlText w:val="%2."/>
      <w:lvlJc w:val="left"/>
      <w:pPr>
        <w:ind w:left="1553" w:hanging="360"/>
      </w:pPr>
    </w:lvl>
    <w:lvl w:ilvl="2" w:tplc="0813001B" w:tentative="1">
      <w:start w:val="1"/>
      <w:numFmt w:val="lowerRoman"/>
      <w:lvlText w:val="%3."/>
      <w:lvlJc w:val="right"/>
      <w:pPr>
        <w:ind w:left="2273" w:hanging="180"/>
      </w:pPr>
    </w:lvl>
    <w:lvl w:ilvl="3" w:tplc="0813000F" w:tentative="1">
      <w:start w:val="1"/>
      <w:numFmt w:val="decimal"/>
      <w:lvlText w:val="%4."/>
      <w:lvlJc w:val="left"/>
      <w:pPr>
        <w:ind w:left="2993" w:hanging="360"/>
      </w:pPr>
    </w:lvl>
    <w:lvl w:ilvl="4" w:tplc="08130019" w:tentative="1">
      <w:start w:val="1"/>
      <w:numFmt w:val="lowerLetter"/>
      <w:lvlText w:val="%5."/>
      <w:lvlJc w:val="left"/>
      <w:pPr>
        <w:ind w:left="3713" w:hanging="360"/>
      </w:pPr>
    </w:lvl>
    <w:lvl w:ilvl="5" w:tplc="0813001B" w:tentative="1">
      <w:start w:val="1"/>
      <w:numFmt w:val="lowerRoman"/>
      <w:lvlText w:val="%6."/>
      <w:lvlJc w:val="right"/>
      <w:pPr>
        <w:ind w:left="4433" w:hanging="180"/>
      </w:pPr>
    </w:lvl>
    <w:lvl w:ilvl="6" w:tplc="0813000F" w:tentative="1">
      <w:start w:val="1"/>
      <w:numFmt w:val="decimal"/>
      <w:lvlText w:val="%7."/>
      <w:lvlJc w:val="left"/>
      <w:pPr>
        <w:ind w:left="5153" w:hanging="360"/>
      </w:pPr>
    </w:lvl>
    <w:lvl w:ilvl="7" w:tplc="08130019" w:tentative="1">
      <w:start w:val="1"/>
      <w:numFmt w:val="lowerLetter"/>
      <w:lvlText w:val="%8."/>
      <w:lvlJc w:val="left"/>
      <w:pPr>
        <w:ind w:left="5873" w:hanging="360"/>
      </w:pPr>
    </w:lvl>
    <w:lvl w:ilvl="8" w:tplc="0813001B" w:tentative="1">
      <w:start w:val="1"/>
      <w:numFmt w:val="lowerRoman"/>
      <w:lvlText w:val="%9."/>
      <w:lvlJc w:val="right"/>
      <w:pPr>
        <w:ind w:left="6593" w:hanging="180"/>
      </w:pPr>
    </w:lvl>
  </w:abstractNum>
  <w:abstractNum w:abstractNumId="3" w15:restartNumberingAfterBreak="0">
    <w:nsid w:val="021D41EB"/>
    <w:multiLevelType w:val="hybridMultilevel"/>
    <w:tmpl w:val="3BFCB27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2CA396A"/>
    <w:multiLevelType w:val="hybridMultilevel"/>
    <w:tmpl w:val="567A169E"/>
    <w:lvl w:ilvl="0" w:tplc="E5F48352">
      <w:start w:val="1"/>
      <w:numFmt w:val="decimal"/>
      <w:lvlText w:val="%1."/>
      <w:lvlJc w:val="left"/>
      <w:pPr>
        <w:ind w:left="720" w:hanging="360"/>
      </w:pPr>
      <w:rPr>
        <w:rFonts w:ascii="Cambria" w:eastAsia="Cambria" w:hAnsi="Cambria" w:cs="Cambr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31157A2"/>
    <w:multiLevelType w:val="hybridMultilevel"/>
    <w:tmpl w:val="D5A46DAA"/>
    <w:lvl w:ilvl="0" w:tplc="331ABC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3241F67"/>
    <w:multiLevelType w:val="hybridMultilevel"/>
    <w:tmpl w:val="F6C2FDF6"/>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6C7234A"/>
    <w:multiLevelType w:val="hybridMultilevel"/>
    <w:tmpl w:val="F11087C6"/>
    <w:lvl w:ilvl="0" w:tplc="4970E39E">
      <w:numFmt w:val="bullet"/>
      <w:lvlText w:val="•"/>
      <w:lvlJc w:val="left"/>
      <w:pPr>
        <w:ind w:left="833" w:hanging="360"/>
      </w:pPr>
      <w:rPr>
        <w:rFonts w:hint="default"/>
        <w:w w:val="100"/>
        <w:lang w:val="en-US" w:eastAsia="en-US" w:bidi="ar-SA"/>
      </w:rPr>
    </w:lvl>
    <w:lvl w:ilvl="1" w:tplc="D7E2AA9C">
      <w:numFmt w:val="bullet"/>
      <w:lvlText w:val="•"/>
      <w:lvlJc w:val="left"/>
      <w:pPr>
        <w:ind w:left="1814" w:hanging="360"/>
      </w:pPr>
      <w:rPr>
        <w:rFonts w:hint="default"/>
        <w:lang w:val="en-US" w:eastAsia="en-US" w:bidi="ar-SA"/>
      </w:rPr>
    </w:lvl>
    <w:lvl w:ilvl="2" w:tplc="BF6E6060">
      <w:numFmt w:val="bullet"/>
      <w:lvlText w:val="•"/>
      <w:lvlJc w:val="left"/>
      <w:pPr>
        <w:ind w:left="2789" w:hanging="360"/>
      </w:pPr>
      <w:rPr>
        <w:rFonts w:hint="default"/>
        <w:lang w:val="en-US" w:eastAsia="en-US" w:bidi="ar-SA"/>
      </w:rPr>
    </w:lvl>
    <w:lvl w:ilvl="3" w:tplc="DFC897D0">
      <w:numFmt w:val="bullet"/>
      <w:lvlText w:val="•"/>
      <w:lvlJc w:val="left"/>
      <w:pPr>
        <w:ind w:left="3763" w:hanging="360"/>
      </w:pPr>
      <w:rPr>
        <w:rFonts w:hint="default"/>
        <w:lang w:val="en-US" w:eastAsia="en-US" w:bidi="ar-SA"/>
      </w:rPr>
    </w:lvl>
    <w:lvl w:ilvl="4" w:tplc="71F42912">
      <w:numFmt w:val="bullet"/>
      <w:lvlText w:val="•"/>
      <w:lvlJc w:val="left"/>
      <w:pPr>
        <w:ind w:left="4738" w:hanging="360"/>
      </w:pPr>
      <w:rPr>
        <w:rFonts w:hint="default"/>
        <w:lang w:val="en-US" w:eastAsia="en-US" w:bidi="ar-SA"/>
      </w:rPr>
    </w:lvl>
    <w:lvl w:ilvl="5" w:tplc="DB641668">
      <w:numFmt w:val="bullet"/>
      <w:lvlText w:val="•"/>
      <w:lvlJc w:val="left"/>
      <w:pPr>
        <w:ind w:left="5713" w:hanging="360"/>
      </w:pPr>
      <w:rPr>
        <w:rFonts w:hint="default"/>
        <w:lang w:val="en-US" w:eastAsia="en-US" w:bidi="ar-SA"/>
      </w:rPr>
    </w:lvl>
    <w:lvl w:ilvl="6" w:tplc="D92E6252">
      <w:numFmt w:val="bullet"/>
      <w:lvlText w:val="•"/>
      <w:lvlJc w:val="left"/>
      <w:pPr>
        <w:ind w:left="6687" w:hanging="360"/>
      </w:pPr>
      <w:rPr>
        <w:rFonts w:hint="default"/>
        <w:lang w:val="en-US" w:eastAsia="en-US" w:bidi="ar-SA"/>
      </w:rPr>
    </w:lvl>
    <w:lvl w:ilvl="7" w:tplc="432C4380">
      <w:numFmt w:val="bullet"/>
      <w:lvlText w:val="•"/>
      <w:lvlJc w:val="left"/>
      <w:pPr>
        <w:ind w:left="7662" w:hanging="360"/>
      </w:pPr>
      <w:rPr>
        <w:rFonts w:hint="default"/>
        <w:lang w:val="en-US" w:eastAsia="en-US" w:bidi="ar-SA"/>
      </w:rPr>
    </w:lvl>
    <w:lvl w:ilvl="8" w:tplc="D0444176">
      <w:numFmt w:val="bullet"/>
      <w:lvlText w:val="•"/>
      <w:lvlJc w:val="left"/>
      <w:pPr>
        <w:ind w:left="8637" w:hanging="360"/>
      </w:pPr>
      <w:rPr>
        <w:rFonts w:hint="default"/>
        <w:lang w:val="en-US" w:eastAsia="en-US" w:bidi="ar-SA"/>
      </w:rPr>
    </w:lvl>
  </w:abstractNum>
  <w:abstractNum w:abstractNumId="8" w15:restartNumberingAfterBreak="0">
    <w:nsid w:val="0757477E"/>
    <w:multiLevelType w:val="hybridMultilevel"/>
    <w:tmpl w:val="0BD413EE"/>
    <w:lvl w:ilvl="0" w:tplc="0410000B">
      <w:start w:val="1"/>
      <w:numFmt w:val="bullet"/>
      <w:lvlText w:val=""/>
      <w:lvlJc w:val="left"/>
      <w:pPr>
        <w:ind w:left="927" w:hanging="360"/>
      </w:pPr>
      <w:rPr>
        <w:rFonts w:ascii="Wingdings" w:hAnsi="Wingdings"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9" w15:restartNumberingAfterBreak="0">
    <w:nsid w:val="07933A16"/>
    <w:multiLevelType w:val="hybridMultilevel"/>
    <w:tmpl w:val="1BB8CC4A"/>
    <w:lvl w:ilvl="0" w:tplc="E4343884">
      <w:numFmt w:val="bullet"/>
      <w:lvlText w:val="-"/>
      <w:lvlJc w:val="left"/>
      <w:pPr>
        <w:ind w:left="833" w:hanging="360"/>
      </w:pPr>
      <w:rPr>
        <w:rFonts w:ascii="Cambria" w:eastAsia="Cambria" w:hAnsi="Cambria" w:cs="Cambria" w:hint="default"/>
        <w:w w:val="100"/>
        <w:sz w:val="22"/>
        <w:szCs w:val="22"/>
        <w:lang w:val="en-US" w:eastAsia="en-US" w:bidi="ar-SA"/>
      </w:rPr>
    </w:lvl>
    <w:lvl w:ilvl="1" w:tplc="8DBCFDA8">
      <w:numFmt w:val="bullet"/>
      <w:lvlText w:val="o"/>
      <w:lvlJc w:val="left"/>
      <w:pPr>
        <w:ind w:left="1553" w:hanging="360"/>
      </w:pPr>
      <w:rPr>
        <w:rFonts w:ascii="Courier New" w:eastAsia="Courier New" w:hAnsi="Courier New" w:cs="Courier New" w:hint="default"/>
        <w:w w:val="100"/>
        <w:sz w:val="22"/>
        <w:szCs w:val="22"/>
        <w:lang w:val="en-US" w:eastAsia="en-US" w:bidi="ar-SA"/>
      </w:rPr>
    </w:lvl>
    <w:lvl w:ilvl="2" w:tplc="D124CD6C">
      <w:numFmt w:val="bullet"/>
      <w:lvlText w:val="•"/>
      <w:lvlJc w:val="left"/>
      <w:pPr>
        <w:ind w:left="2562" w:hanging="360"/>
      </w:pPr>
      <w:rPr>
        <w:rFonts w:hint="default"/>
        <w:lang w:val="en-US" w:eastAsia="en-US" w:bidi="ar-SA"/>
      </w:rPr>
    </w:lvl>
    <w:lvl w:ilvl="3" w:tplc="3D18302E">
      <w:numFmt w:val="bullet"/>
      <w:lvlText w:val="•"/>
      <w:lvlJc w:val="left"/>
      <w:pPr>
        <w:ind w:left="3565" w:hanging="360"/>
      </w:pPr>
      <w:rPr>
        <w:rFonts w:hint="default"/>
        <w:lang w:val="en-US" w:eastAsia="en-US" w:bidi="ar-SA"/>
      </w:rPr>
    </w:lvl>
    <w:lvl w:ilvl="4" w:tplc="E0F01AD8">
      <w:numFmt w:val="bullet"/>
      <w:lvlText w:val="•"/>
      <w:lvlJc w:val="left"/>
      <w:pPr>
        <w:ind w:left="4568" w:hanging="360"/>
      </w:pPr>
      <w:rPr>
        <w:rFonts w:hint="default"/>
        <w:lang w:val="en-US" w:eastAsia="en-US" w:bidi="ar-SA"/>
      </w:rPr>
    </w:lvl>
    <w:lvl w:ilvl="5" w:tplc="14788834">
      <w:numFmt w:val="bullet"/>
      <w:lvlText w:val="•"/>
      <w:lvlJc w:val="left"/>
      <w:pPr>
        <w:ind w:left="5571" w:hanging="360"/>
      </w:pPr>
      <w:rPr>
        <w:rFonts w:hint="default"/>
        <w:lang w:val="en-US" w:eastAsia="en-US" w:bidi="ar-SA"/>
      </w:rPr>
    </w:lvl>
    <w:lvl w:ilvl="6" w:tplc="D472D0FC">
      <w:numFmt w:val="bullet"/>
      <w:lvlText w:val="•"/>
      <w:lvlJc w:val="left"/>
      <w:pPr>
        <w:ind w:left="6574" w:hanging="360"/>
      </w:pPr>
      <w:rPr>
        <w:rFonts w:hint="default"/>
        <w:lang w:val="en-US" w:eastAsia="en-US" w:bidi="ar-SA"/>
      </w:rPr>
    </w:lvl>
    <w:lvl w:ilvl="7" w:tplc="CBAE597A">
      <w:numFmt w:val="bullet"/>
      <w:lvlText w:val="•"/>
      <w:lvlJc w:val="left"/>
      <w:pPr>
        <w:ind w:left="7577" w:hanging="360"/>
      </w:pPr>
      <w:rPr>
        <w:rFonts w:hint="default"/>
        <w:lang w:val="en-US" w:eastAsia="en-US" w:bidi="ar-SA"/>
      </w:rPr>
    </w:lvl>
    <w:lvl w:ilvl="8" w:tplc="1A5A4D38">
      <w:numFmt w:val="bullet"/>
      <w:lvlText w:val="•"/>
      <w:lvlJc w:val="left"/>
      <w:pPr>
        <w:ind w:left="8580" w:hanging="360"/>
      </w:pPr>
      <w:rPr>
        <w:rFonts w:hint="default"/>
        <w:lang w:val="en-US" w:eastAsia="en-US" w:bidi="ar-SA"/>
      </w:rPr>
    </w:lvl>
  </w:abstractNum>
  <w:abstractNum w:abstractNumId="10" w15:restartNumberingAfterBreak="0">
    <w:nsid w:val="07D34A39"/>
    <w:multiLevelType w:val="hybridMultilevel"/>
    <w:tmpl w:val="80A23F10"/>
    <w:lvl w:ilvl="0" w:tplc="224AED12">
      <w:numFmt w:val="bullet"/>
      <w:lvlText w:val=""/>
      <w:lvlJc w:val="left"/>
      <w:pPr>
        <w:ind w:left="1353" w:hanging="360"/>
      </w:pPr>
      <w:rPr>
        <w:rFonts w:ascii="Symbol" w:eastAsia="Symbol" w:hAnsi="Symbol" w:cs="Symbol" w:hint="default"/>
        <w:w w:val="100"/>
        <w:sz w:val="22"/>
        <w:szCs w:val="22"/>
        <w:lang w:val="en-US" w:eastAsia="en-US" w:bidi="ar-SA"/>
      </w:rPr>
    </w:lvl>
    <w:lvl w:ilvl="1" w:tplc="04100001">
      <w:start w:val="1"/>
      <w:numFmt w:val="bullet"/>
      <w:lvlText w:val=""/>
      <w:lvlJc w:val="left"/>
      <w:pPr>
        <w:ind w:left="2073" w:hanging="360"/>
      </w:pPr>
      <w:rPr>
        <w:rFonts w:ascii="Symbol" w:hAnsi="Symbol" w:hint="default"/>
      </w:rPr>
    </w:lvl>
    <w:lvl w:ilvl="2" w:tplc="04100005">
      <w:start w:val="1"/>
      <w:numFmt w:val="bullet"/>
      <w:lvlText w:val=""/>
      <w:lvlJc w:val="left"/>
      <w:pPr>
        <w:ind w:left="2793" w:hanging="360"/>
      </w:pPr>
      <w:rPr>
        <w:rFonts w:ascii="Wingdings" w:hAnsi="Wingdings" w:hint="default"/>
      </w:rPr>
    </w:lvl>
    <w:lvl w:ilvl="3" w:tplc="04100001">
      <w:start w:val="1"/>
      <w:numFmt w:val="bullet"/>
      <w:lvlText w:val=""/>
      <w:lvlJc w:val="left"/>
      <w:pPr>
        <w:ind w:left="3513" w:hanging="360"/>
      </w:pPr>
      <w:rPr>
        <w:rFonts w:ascii="Symbol" w:hAnsi="Symbol" w:hint="default"/>
      </w:rPr>
    </w:lvl>
    <w:lvl w:ilvl="4" w:tplc="04100003">
      <w:start w:val="1"/>
      <w:numFmt w:val="bullet"/>
      <w:lvlText w:val="o"/>
      <w:lvlJc w:val="left"/>
      <w:pPr>
        <w:ind w:left="4233" w:hanging="360"/>
      </w:pPr>
      <w:rPr>
        <w:rFonts w:ascii="Courier New" w:hAnsi="Courier New" w:cs="Courier New" w:hint="default"/>
      </w:rPr>
    </w:lvl>
    <w:lvl w:ilvl="5" w:tplc="04100005">
      <w:start w:val="1"/>
      <w:numFmt w:val="bullet"/>
      <w:lvlText w:val=""/>
      <w:lvlJc w:val="left"/>
      <w:pPr>
        <w:ind w:left="4953" w:hanging="360"/>
      </w:pPr>
      <w:rPr>
        <w:rFonts w:ascii="Wingdings" w:hAnsi="Wingdings" w:hint="default"/>
      </w:rPr>
    </w:lvl>
    <w:lvl w:ilvl="6" w:tplc="0410000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11" w15:restartNumberingAfterBreak="0">
    <w:nsid w:val="0BD527EF"/>
    <w:multiLevelType w:val="hybridMultilevel"/>
    <w:tmpl w:val="51E63434"/>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2" w15:restartNumberingAfterBreak="0">
    <w:nsid w:val="0E4525C7"/>
    <w:multiLevelType w:val="hybridMultilevel"/>
    <w:tmpl w:val="1F2ADA9C"/>
    <w:lvl w:ilvl="0" w:tplc="04100017">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3" w15:restartNumberingAfterBreak="0">
    <w:nsid w:val="0F7C3A63"/>
    <w:multiLevelType w:val="multilevel"/>
    <w:tmpl w:val="29867154"/>
    <w:lvl w:ilvl="0">
      <w:start w:val="4"/>
      <w:numFmt w:val="upperRoman"/>
      <w:lvlText w:val="%1"/>
      <w:lvlJc w:val="left"/>
      <w:pPr>
        <w:ind w:left="1190" w:hanging="512"/>
      </w:pPr>
      <w:rPr>
        <w:rFonts w:hint="default"/>
        <w:lang w:val="en-US" w:eastAsia="en-US" w:bidi="ar-SA"/>
      </w:rPr>
    </w:lvl>
    <w:lvl w:ilvl="1">
      <w:start w:val="1"/>
      <w:numFmt w:val="decimal"/>
      <w:lvlText w:val="%1.%2."/>
      <w:lvlJc w:val="left"/>
      <w:pPr>
        <w:ind w:left="1190" w:hanging="512"/>
      </w:pPr>
      <w:rPr>
        <w:rFonts w:ascii="Cambria" w:eastAsia="Cambria" w:hAnsi="Cambria" w:cs="Cambria" w:hint="default"/>
        <w:b/>
        <w:bCs/>
        <w:spacing w:val="-2"/>
        <w:w w:val="100"/>
        <w:sz w:val="22"/>
        <w:szCs w:val="22"/>
        <w:lang w:val="en-US" w:eastAsia="en-US" w:bidi="ar-SA"/>
      </w:rPr>
    </w:lvl>
    <w:lvl w:ilvl="2">
      <w:start w:val="1"/>
      <w:numFmt w:val="decimalZero"/>
      <w:lvlText w:val="%3."/>
      <w:lvlJc w:val="left"/>
      <w:pPr>
        <w:ind w:left="826" w:hanging="356"/>
      </w:pPr>
      <w:rPr>
        <w:rFonts w:ascii="Cambria" w:eastAsia="Cambria" w:hAnsi="Cambria" w:cs="Cambria" w:hint="default"/>
        <w:w w:val="100"/>
        <w:sz w:val="22"/>
        <w:szCs w:val="22"/>
        <w:lang w:val="en-US" w:eastAsia="en-US" w:bidi="ar-SA"/>
      </w:rPr>
    </w:lvl>
    <w:lvl w:ilvl="3">
      <w:start w:val="1"/>
      <w:numFmt w:val="lowerLetter"/>
      <w:lvlText w:val="(%4)"/>
      <w:lvlJc w:val="left"/>
      <w:pPr>
        <w:ind w:left="1553" w:hanging="360"/>
      </w:pPr>
      <w:rPr>
        <w:rFonts w:ascii="Cambria" w:eastAsia="Cambria" w:hAnsi="Cambria" w:cs="Cambria" w:hint="default"/>
        <w:w w:val="100"/>
        <w:sz w:val="22"/>
        <w:szCs w:val="22"/>
        <w:lang w:val="en-US" w:eastAsia="en-US" w:bidi="ar-SA"/>
      </w:rPr>
    </w:lvl>
    <w:lvl w:ilvl="4">
      <w:numFmt w:val="bullet"/>
      <w:lvlText w:val="•"/>
      <w:lvlJc w:val="left"/>
      <w:pPr>
        <w:ind w:left="3816" w:hanging="360"/>
      </w:pPr>
      <w:rPr>
        <w:rFonts w:hint="default"/>
        <w:lang w:val="en-US" w:eastAsia="en-US" w:bidi="ar-SA"/>
      </w:rPr>
    </w:lvl>
    <w:lvl w:ilvl="5">
      <w:numFmt w:val="bullet"/>
      <w:lvlText w:val="•"/>
      <w:lvlJc w:val="left"/>
      <w:pPr>
        <w:ind w:left="4944" w:hanging="360"/>
      </w:pPr>
      <w:rPr>
        <w:rFonts w:hint="default"/>
        <w:lang w:val="en-US" w:eastAsia="en-US" w:bidi="ar-SA"/>
      </w:rPr>
    </w:lvl>
    <w:lvl w:ilvl="6">
      <w:numFmt w:val="bullet"/>
      <w:lvlText w:val="•"/>
      <w:lvlJc w:val="left"/>
      <w:pPr>
        <w:ind w:left="6073" w:hanging="360"/>
      </w:pPr>
      <w:rPr>
        <w:rFonts w:hint="default"/>
        <w:lang w:val="en-US" w:eastAsia="en-US" w:bidi="ar-SA"/>
      </w:rPr>
    </w:lvl>
    <w:lvl w:ilvl="7">
      <w:numFmt w:val="bullet"/>
      <w:lvlText w:val="•"/>
      <w:lvlJc w:val="left"/>
      <w:pPr>
        <w:ind w:left="7201" w:hanging="360"/>
      </w:pPr>
      <w:rPr>
        <w:rFonts w:hint="default"/>
        <w:lang w:val="en-US" w:eastAsia="en-US" w:bidi="ar-SA"/>
      </w:rPr>
    </w:lvl>
    <w:lvl w:ilvl="8">
      <w:numFmt w:val="bullet"/>
      <w:lvlText w:val="•"/>
      <w:lvlJc w:val="left"/>
      <w:pPr>
        <w:ind w:left="8329" w:hanging="360"/>
      </w:pPr>
      <w:rPr>
        <w:rFonts w:hint="default"/>
        <w:lang w:val="en-US" w:eastAsia="en-US" w:bidi="ar-SA"/>
      </w:rPr>
    </w:lvl>
  </w:abstractNum>
  <w:abstractNum w:abstractNumId="14" w15:restartNumberingAfterBreak="0">
    <w:nsid w:val="10D15793"/>
    <w:multiLevelType w:val="hybridMultilevel"/>
    <w:tmpl w:val="BA9A58EC"/>
    <w:lvl w:ilvl="0" w:tplc="0813000F">
      <w:start w:val="1"/>
      <w:numFmt w:val="decimal"/>
      <w:lvlText w:val="%1."/>
      <w:lvlJc w:val="left"/>
      <w:pPr>
        <w:ind w:left="832" w:hanging="360"/>
      </w:pPr>
    </w:lvl>
    <w:lvl w:ilvl="1" w:tplc="08130019" w:tentative="1">
      <w:start w:val="1"/>
      <w:numFmt w:val="lowerLetter"/>
      <w:lvlText w:val="%2."/>
      <w:lvlJc w:val="left"/>
      <w:pPr>
        <w:ind w:left="1552" w:hanging="360"/>
      </w:pPr>
    </w:lvl>
    <w:lvl w:ilvl="2" w:tplc="0813001B" w:tentative="1">
      <w:start w:val="1"/>
      <w:numFmt w:val="lowerRoman"/>
      <w:lvlText w:val="%3."/>
      <w:lvlJc w:val="right"/>
      <w:pPr>
        <w:ind w:left="2272" w:hanging="180"/>
      </w:pPr>
    </w:lvl>
    <w:lvl w:ilvl="3" w:tplc="0813000F" w:tentative="1">
      <w:start w:val="1"/>
      <w:numFmt w:val="decimal"/>
      <w:lvlText w:val="%4."/>
      <w:lvlJc w:val="left"/>
      <w:pPr>
        <w:ind w:left="2992" w:hanging="360"/>
      </w:pPr>
    </w:lvl>
    <w:lvl w:ilvl="4" w:tplc="08130019" w:tentative="1">
      <w:start w:val="1"/>
      <w:numFmt w:val="lowerLetter"/>
      <w:lvlText w:val="%5."/>
      <w:lvlJc w:val="left"/>
      <w:pPr>
        <w:ind w:left="3712" w:hanging="360"/>
      </w:pPr>
    </w:lvl>
    <w:lvl w:ilvl="5" w:tplc="0813001B" w:tentative="1">
      <w:start w:val="1"/>
      <w:numFmt w:val="lowerRoman"/>
      <w:lvlText w:val="%6."/>
      <w:lvlJc w:val="right"/>
      <w:pPr>
        <w:ind w:left="4432" w:hanging="180"/>
      </w:pPr>
    </w:lvl>
    <w:lvl w:ilvl="6" w:tplc="0813000F" w:tentative="1">
      <w:start w:val="1"/>
      <w:numFmt w:val="decimal"/>
      <w:lvlText w:val="%7."/>
      <w:lvlJc w:val="left"/>
      <w:pPr>
        <w:ind w:left="5152" w:hanging="360"/>
      </w:pPr>
    </w:lvl>
    <w:lvl w:ilvl="7" w:tplc="08130019" w:tentative="1">
      <w:start w:val="1"/>
      <w:numFmt w:val="lowerLetter"/>
      <w:lvlText w:val="%8."/>
      <w:lvlJc w:val="left"/>
      <w:pPr>
        <w:ind w:left="5872" w:hanging="360"/>
      </w:pPr>
    </w:lvl>
    <w:lvl w:ilvl="8" w:tplc="0813001B" w:tentative="1">
      <w:start w:val="1"/>
      <w:numFmt w:val="lowerRoman"/>
      <w:lvlText w:val="%9."/>
      <w:lvlJc w:val="right"/>
      <w:pPr>
        <w:ind w:left="6592" w:hanging="180"/>
      </w:pPr>
    </w:lvl>
  </w:abstractNum>
  <w:abstractNum w:abstractNumId="15" w15:restartNumberingAfterBreak="0">
    <w:nsid w:val="12882746"/>
    <w:multiLevelType w:val="hybridMultilevel"/>
    <w:tmpl w:val="0AD25400"/>
    <w:lvl w:ilvl="0" w:tplc="0410000F">
      <w:start w:val="1"/>
      <w:numFmt w:val="decimal"/>
      <w:lvlText w:val="%1."/>
      <w:lvlJc w:val="left"/>
      <w:pPr>
        <w:ind w:left="473" w:hanging="360"/>
      </w:pPr>
    </w:lvl>
    <w:lvl w:ilvl="1" w:tplc="04100019" w:tentative="1">
      <w:start w:val="1"/>
      <w:numFmt w:val="lowerLetter"/>
      <w:lvlText w:val="%2."/>
      <w:lvlJc w:val="left"/>
      <w:pPr>
        <w:ind w:left="1193" w:hanging="360"/>
      </w:pPr>
    </w:lvl>
    <w:lvl w:ilvl="2" w:tplc="0410001B" w:tentative="1">
      <w:start w:val="1"/>
      <w:numFmt w:val="lowerRoman"/>
      <w:lvlText w:val="%3."/>
      <w:lvlJc w:val="right"/>
      <w:pPr>
        <w:ind w:left="1913" w:hanging="180"/>
      </w:pPr>
    </w:lvl>
    <w:lvl w:ilvl="3" w:tplc="0410000F" w:tentative="1">
      <w:start w:val="1"/>
      <w:numFmt w:val="decimal"/>
      <w:lvlText w:val="%4."/>
      <w:lvlJc w:val="left"/>
      <w:pPr>
        <w:ind w:left="2633" w:hanging="360"/>
      </w:pPr>
    </w:lvl>
    <w:lvl w:ilvl="4" w:tplc="04100019" w:tentative="1">
      <w:start w:val="1"/>
      <w:numFmt w:val="lowerLetter"/>
      <w:lvlText w:val="%5."/>
      <w:lvlJc w:val="left"/>
      <w:pPr>
        <w:ind w:left="3353" w:hanging="360"/>
      </w:pPr>
    </w:lvl>
    <w:lvl w:ilvl="5" w:tplc="0410001B" w:tentative="1">
      <w:start w:val="1"/>
      <w:numFmt w:val="lowerRoman"/>
      <w:lvlText w:val="%6."/>
      <w:lvlJc w:val="right"/>
      <w:pPr>
        <w:ind w:left="4073" w:hanging="180"/>
      </w:pPr>
    </w:lvl>
    <w:lvl w:ilvl="6" w:tplc="0410000F" w:tentative="1">
      <w:start w:val="1"/>
      <w:numFmt w:val="decimal"/>
      <w:lvlText w:val="%7."/>
      <w:lvlJc w:val="left"/>
      <w:pPr>
        <w:ind w:left="4793" w:hanging="360"/>
      </w:pPr>
    </w:lvl>
    <w:lvl w:ilvl="7" w:tplc="04100019" w:tentative="1">
      <w:start w:val="1"/>
      <w:numFmt w:val="lowerLetter"/>
      <w:lvlText w:val="%8."/>
      <w:lvlJc w:val="left"/>
      <w:pPr>
        <w:ind w:left="5513" w:hanging="360"/>
      </w:pPr>
    </w:lvl>
    <w:lvl w:ilvl="8" w:tplc="0410001B" w:tentative="1">
      <w:start w:val="1"/>
      <w:numFmt w:val="lowerRoman"/>
      <w:lvlText w:val="%9."/>
      <w:lvlJc w:val="right"/>
      <w:pPr>
        <w:ind w:left="6233" w:hanging="180"/>
      </w:pPr>
    </w:lvl>
  </w:abstractNum>
  <w:abstractNum w:abstractNumId="16" w15:restartNumberingAfterBreak="0">
    <w:nsid w:val="12B551B5"/>
    <w:multiLevelType w:val="multilevel"/>
    <w:tmpl w:val="89CE1A78"/>
    <w:lvl w:ilvl="0">
      <w:start w:val="1"/>
      <w:numFmt w:val="decimal"/>
      <w:lvlText w:val="%1."/>
      <w:lvlJc w:val="left"/>
      <w:pPr>
        <w:ind w:left="512" w:hanging="512"/>
      </w:pPr>
      <w:rPr>
        <w:rFonts w:hint="default"/>
        <w:lang w:val="en-US" w:eastAsia="en-US" w:bidi="ar-SA"/>
      </w:rPr>
    </w:lvl>
    <w:lvl w:ilvl="1">
      <w:start w:val="1"/>
      <w:numFmt w:val="decimal"/>
      <w:lvlText w:val="%1.%2."/>
      <w:lvlJc w:val="left"/>
      <w:pPr>
        <w:ind w:left="512" w:hanging="512"/>
      </w:pPr>
      <w:rPr>
        <w:rFonts w:ascii="Cambria" w:eastAsia="Cambria" w:hAnsi="Cambria" w:cs="Cambria" w:hint="default"/>
        <w:b/>
        <w:bCs/>
        <w:spacing w:val="-2"/>
        <w:w w:val="100"/>
        <w:sz w:val="22"/>
        <w:szCs w:val="22"/>
        <w:lang w:val="en-US" w:eastAsia="en-US" w:bidi="ar-SA"/>
      </w:rPr>
    </w:lvl>
    <w:lvl w:ilvl="2">
      <w:start w:val="1"/>
      <w:numFmt w:val="decimalZero"/>
      <w:lvlText w:val="%3."/>
      <w:lvlJc w:val="left"/>
      <w:pPr>
        <w:ind w:left="148" w:hanging="356"/>
      </w:pPr>
      <w:rPr>
        <w:rFonts w:ascii="Cambria" w:eastAsia="Cambria" w:hAnsi="Cambria" w:cs="Cambria" w:hint="default"/>
        <w:w w:val="100"/>
        <w:sz w:val="22"/>
        <w:szCs w:val="22"/>
        <w:lang w:val="en-US" w:eastAsia="en-US" w:bidi="ar-SA"/>
      </w:rPr>
    </w:lvl>
    <w:lvl w:ilvl="3">
      <w:start w:val="1"/>
      <w:numFmt w:val="lowerLetter"/>
      <w:lvlText w:val="(%4)"/>
      <w:lvlJc w:val="left"/>
      <w:pPr>
        <w:ind w:left="875" w:hanging="360"/>
      </w:pPr>
      <w:rPr>
        <w:rFonts w:ascii="Cambria" w:eastAsia="Cambria" w:hAnsi="Cambria" w:cs="Cambria" w:hint="default"/>
        <w:w w:val="100"/>
        <w:sz w:val="22"/>
        <w:szCs w:val="22"/>
        <w:lang w:val="en-US" w:eastAsia="en-US" w:bidi="ar-SA"/>
      </w:rPr>
    </w:lvl>
    <w:lvl w:ilvl="4">
      <w:numFmt w:val="bullet"/>
      <w:lvlText w:val="•"/>
      <w:lvlJc w:val="left"/>
      <w:pPr>
        <w:ind w:left="3138" w:hanging="360"/>
      </w:pPr>
      <w:rPr>
        <w:rFonts w:hint="default"/>
        <w:lang w:val="en-US" w:eastAsia="en-US" w:bidi="ar-SA"/>
      </w:rPr>
    </w:lvl>
    <w:lvl w:ilvl="5">
      <w:numFmt w:val="bullet"/>
      <w:lvlText w:val="•"/>
      <w:lvlJc w:val="left"/>
      <w:pPr>
        <w:ind w:left="4266" w:hanging="360"/>
      </w:pPr>
      <w:rPr>
        <w:rFonts w:hint="default"/>
        <w:lang w:val="en-US" w:eastAsia="en-US" w:bidi="ar-SA"/>
      </w:rPr>
    </w:lvl>
    <w:lvl w:ilvl="6">
      <w:numFmt w:val="bullet"/>
      <w:lvlText w:val="•"/>
      <w:lvlJc w:val="left"/>
      <w:pPr>
        <w:ind w:left="5395" w:hanging="360"/>
      </w:pPr>
      <w:rPr>
        <w:rFonts w:hint="default"/>
        <w:lang w:val="en-US" w:eastAsia="en-US" w:bidi="ar-SA"/>
      </w:rPr>
    </w:lvl>
    <w:lvl w:ilvl="7">
      <w:numFmt w:val="bullet"/>
      <w:lvlText w:val="•"/>
      <w:lvlJc w:val="left"/>
      <w:pPr>
        <w:ind w:left="6523" w:hanging="360"/>
      </w:pPr>
      <w:rPr>
        <w:rFonts w:hint="default"/>
        <w:lang w:val="en-US" w:eastAsia="en-US" w:bidi="ar-SA"/>
      </w:rPr>
    </w:lvl>
    <w:lvl w:ilvl="8">
      <w:numFmt w:val="bullet"/>
      <w:lvlText w:val="•"/>
      <w:lvlJc w:val="left"/>
      <w:pPr>
        <w:ind w:left="7651" w:hanging="360"/>
      </w:pPr>
      <w:rPr>
        <w:rFonts w:hint="default"/>
        <w:lang w:val="en-US" w:eastAsia="en-US" w:bidi="ar-SA"/>
      </w:rPr>
    </w:lvl>
  </w:abstractNum>
  <w:abstractNum w:abstractNumId="17" w15:restartNumberingAfterBreak="0">
    <w:nsid w:val="14053D54"/>
    <w:multiLevelType w:val="hybridMultilevel"/>
    <w:tmpl w:val="93E2C228"/>
    <w:lvl w:ilvl="0" w:tplc="30881A9E">
      <w:numFmt w:val="bullet"/>
      <w:lvlText w:val="-"/>
      <w:lvlJc w:val="left"/>
      <w:pPr>
        <w:ind w:left="720" w:hanging="360"/>
      </w:pPr>
      <w:rPr>
        <w:rFonts w:ascii="Cambria" w:eastAsia="Cambria" w:hAnsi="Cambria"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DDE7339"/>
    <w:multiLevelType w:val="hybridMultilevel"/>
    <w:tmpl w:val="5DF86402"/>
    <w:lvl w:ilvl="0" w:tplc="0809000F">
      <w:start w:val="1"/>
      <w:numFmt w:val="decimal"/>
      <w:lvlText w:val="%1."/>
      <w:lvlJc w:val="left"/>
      <w:pPr>
        <w:ind w:left="473" w:hanging="360"/>
      </w:pPr>
      <w:rPr>
        <w:rFonts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9" w15:restartNumberingAfterBreak="0">
    <w:nsid w:val="23B646A5"/>
    <w:multiLevelType w:val="hybridMultilevel"/>
    <w:tmpl w:val="D526CA86"/>
    <w:lvl w:ilvl="0" w:tplc="04100001">
      <w:start w:val="1"/>
      <w:numFmt w:val="bullet"/>
      <w:lvlText w:val=""/>
      <w:lvlJc w:val="left"/>
      <w:pPr>
        <w:ind w:left="1192" w:hanging="360"/>
      </w:pPr>
      <w:rPr>
        <w:rFonts w:ascii="Symbol" w:hAnsi="Symbol" w:hint="default"/>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20" w15:restartNumberingAfterBreak="0">
    <w:nsid w:val="26FF4901"/>
    <w:multiLevelType w:val="hybridMultilevel"/>
    <w:tmpl w:val="C75CA618"/>
    <w:lvl w:ilvl="0" w:tplc="57F81934">
      <w:start w:val="1"/>
      <w:numFmt w:val="upperLetter"/>
      <w:lvlText w:val="(%1)"/>
      <w:lvlJc w:val="left"/>
      <w:pPr>
        <w:ind w:left="833" w:hanging="408"/>
      </w:pPr>
      <w:rPr>
        <w:rFonts w:ascii="Cambria" w:eastAsia="Cambria" w:hAnsi="Cambria" w:cs="Cambria" w:hint="default"/>
        <w:spacing w:val="-2"/>
        <w:w w:val="100"/>
        <w:sz w:val="22"/>
        <w:szCs w:val="22"/>
        <w:lang w:val="en-US" w:eastAsia="en-US" w:bidi="ar-SA"/>
      </w:rPr>
    </w:lvl>
    <w:lvl w:ilvl="1" w:tplc="405C5B46">
      <w:numFmt w:val="bullet"/>
      <w:lvlText w:val="•"/>
      <w:lvlJc w:val="left"/>
      <w:pPr>
        <w:ind w:left="1814" w:hanging="408"/>
      </w:pPr>
      <w:rPr>
        <w:rFonts w:hint="default"/>
        <w:lang w:val="en-US" w:eastAsia="en-US" w:bidi="ar-SA"/>
      </w:rPr>
    </w:lvl>
    <w:lvl w:ilvl="2" w:tplc="FF341808">
      <w:numFmt w:val="bullet"/>
      <w:lvlText w:val="•"/>
      <w:lvlJc w:val="left"/>
      <w:pPr>
        <w:ind w:left="2789" w:hanging="408"/>
      </w:pPr>
      <w:rPr>
        <w:rFonts w:hint="default"/>
        <w:lang w:val="en-US" w:eastAsia="en-US" w:bidi="ar-SA"/>
      </w:rPr>
    </w:lvl>
    <w:lvl w:ilvl="3" w:tplc="4B0804C8">
      <w:numFmt w:val="bullet"/>
      <w:lvlText w:val="•"/>
      <w:lvlJc w:val="left"/>
      <w:pPr>
        <w:ind w:left="3763" w:hanging="408"/>
      </w:pPr>
      <w:rPr>
        <w:rFonts w:hint="default"/>
        <w:lang w:val="en-US" w:eastAsia="en-US" w:bidi="ar-SA"/>
      </w:rPr>
    </w:lvl>
    <w:lvl w:ilvl="4" w:tplc="D46490B6">
      <w:numFmt w:val="bullet"/>
      <w:lvlText w:val="•"/>
      <w:lvlJc w:val="left"/>
      <w:pPr>
        <w:ind w:left="4738" w:hanging="408"/>
      </w:pPr>
      <w:rPr>
        <w:rFonts w:hint="default"/>
        <w:lang w:val="en-US" w:eastAsia="en-US" w:bidi="ar-SA"/>
      </w:rPr>
    </w:lvl>
    <w:lvl w:ilvl="5" w:tplc="3288E20C">
      <w:numFmt w:val="bullet"/>
      <w:lvlText w:val="•"/>
      <w:lvlJc w:val="left"/>
      <w:pPr>
        <w:ind w:left="5713" w:hanging="408"/>
      </w:pPr>
      <w:rPr>
        <w:rFonts w:hint="default"/>
        <w:lang w:val="en-US" w:eastAsia="en-US" w:bidi="ar-SA"/>
      </w:rPr>
    </w:lvl>
    <w:lvl w:ilvl="6" w:tplc="98D25CE6">
      <w:numFmt w:val="bullet"/>
      <w:lvlText w:val="•"/>
      <w:lvlJc w:val="left"/>
      <w:pPr>
        <w:ind w:left="6687" w:hanging="408"/>
      </w:pPr>
      <w:rPr>
        <w:rFonts w:hint="default"/>
        <w:lang w:val="en-US" w:eastAsia="en-US" w:bidi="ar-SA"/>
      </w:rPr>
    </w:lvl>
    <w:lvl w:ilvl="7" w:tplc="4DC0339A">
      <w:numFmt w:val="bullet"/>
      <w:lvlText w:val="•"/>
      <w:lvlJc w:val="left"/>
      <w:pPr>
        <w:ind w:left="7662" w:hanging="408"/>
      </w:pPr>
      <w:rPr>
        <w:rFonts w:hint="default"/>
        <w:lang w:val="en-US" w:eastAsia="en-US" w:bidi="ar-SA"/>
      </w:rPr>
    </w:lvl>
    <w:lvl w:ilvl="8" w:tplc="1548D1DA">
      <w:numFmt w:val="bullet"/>
      <w:lvlText w:val="•"/>
      <w:lvlJc w:val="left"/>
      <w:pPr>
        <w:ind w:left="8637" w:hanging="408"/>
      </w:pPr>
      <w:rPr>
        <w:rFonts w:hint="default"/>
        <w:lang w:val="en-US" w:eastAsia="en-US" w:bidi="ar-SA"/>
      </w:rPr>
    </w:lvl>
  </w:abstractNum>
  <w:abstractNum w:abstractNumId="21" w15:restartNumberingAfterBreak="0">
    <w:nsid w:val="28883657"/>
    <w:multiLevelType w:val="hybridMultilevel"/>
    <w:tmpl w:val="8806D4CE"/>
    <w:lvl w:ilvl="0" w:tplc="9DB478CC">
      <w:numFmt w:val="bullet"/>
      <w:lvlText w:val="-"/>
      <w:lvlJc w:val="left"/>
      <w:pPr>
        <w:ind w:left="473" w:hanging="360"/>
      </w:pPr>
      <w:rPr>
        <w:rFonts w:ascii="Cambria" w:eastAsia="Cambria" w:hAnsi="Cambria" w:cs="Cambria"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22" w15:restartNumberingAfterBreak="0">
    <w:nsid w:val="28B903BD"/>
    <w:multiLevelType w:val="hybridMultilevel"/>
    <w:tmpl w:val="57D6100C"/>
    <w:lvl w:ilvl="0" w:tplc="E80248F6">
      <w:numFmt w:val="bullet"/>
      <w:lvlText w:val="o"/>
      <w:lvlJc w:val="left"/>
      <w:pPr>
        <w:ind w:left="1553" w:hanging="408"/>
      </w:pPr>
      <w:rPr>
        <w:rFonts w:ascii="Courier New" w:eastAsia="Courier New" w:hAnsi="Courier New" w:cs="Courier New" w:hint="default"/>
        <w:w w:val="100"/>
        <w:sz w:val="22"/>
        <w:szCs w:val="22"/>
        <w:lang w:val="en-US" w:eastAsia="en-US" w:bidi="ar-SA"/>
      </w:rPr>
    </w:lvl>
    <w:lvl w:ilvl="1" w:tplc="737E2E22">
      <w:numFmt w:val="bullet"/>
      <w:lvlText w:val="•"/>
      <w:lvlJc w:val="left"/>
      <w:pPr>
        <w:ind w:left="2462" w:hanging="408"/>
      </w:pPr>
      <w:rPr>
        <w:rFonts w:hint="default"/>
        <w:lang w:val="en-US" w:eastAsia="en-US" w:bidi="ar-SA"/>
      </w:rPr>
    </w:lvl>
    <w:lvl w:ilvl="2" w:tplc="3B7EC27E">
      <w:numFmt w:val="bullet"/>
      <w:lvlText w:val="•"/>
      <w:lvlJc w:val="left"/>
      <w:pPr>
        <w:ind w:left="3365" w:hanging="408"/>
      </w:pPr>
      <w:rPr>
        <w:rFonts w:hint="default"/>
        <w:lang w:val="en-US" w:eastAsia="en-US" w:bidi="ar-SA"/>
      </w:rPr>
    </w:lvl>
    <w:lvl w:ilvl="3" w:tplc="FC18D00C">
      <w:numFmt w:val="bullet"/>
      <w:lvlText w:val="•"/>
      <w:lvlJc w:val="left"/>
      <w:pPr>
        <w:ind w:left="4267" w:hanging="408"/>
      </w:pPr>
      <w:rPr>
        <w:rFonts w:hint="default"/>
        <w:lang w:val="en-US" w:eastAsia="en-US" w:bidi="ar-SA"/>
      </w:rPr>
    </w:lvl>
    <w:lvl w:ilvl="4" w:tplc="D3285FD6">
      <w:numFmt w:val="bullet"/>
      <w:lvlText w:val="•"/>
      <w:lvlJc w:val="left"/>
      <w:pPr>
        <w:ind w:left="5170" w:hanging="408"/>
      </w:pPr>
      <w:rPr>
        <w:rFonts w:hint="default"/>
        <w:lang w:val="en-US" w:eastAsia="en-US" w:bidi="ar-SA"/>
      </w:rPr>
    </w:lvl>
    <w:lvl w:ilvl="5" w:tplc="FE5CCE8C">
      <w:numFmt w:val="bullet"/>
      <w:lvlText w:val="•"/>
      <w:lvlJc w:val="left"/>
      <w:pPr>
        <w:ind w:left="6073" w:hanging="408"/>
      </w:pPr>
      <w:rPr>
        <w:rFonts w:hint="default"/>
        <w:lang w:val="en-US" w:eastAsia="en-US" w:bidi="ar-SA"/>
      </w:rPr>
    </w:lvl>
    <w:lvl w:ilvl="6" w:tplc="58D685F8">
      <w:numFmt w:val="bullet"/>
      <w:lvlText w:val="•"/>
      <w:lvlJc w:val="left"/>
      <w:pPr>
        <w:ind w:left="6975" w:hanging="408"/>
      </w:pPr>
      <w:rPr>
        <w:rFonts w:hint="default"/>
        <w:lang w:val="en-US" w:eastAsia="en-US" w:bidi="ar-SA"/>
      </w:rPr>
    </w:lvl>
    <w:lvl w:ilvl="7" w:tplc="05EC7BB0">
      <w:numFmt w:val="bullet"/>
      <w:lvlText w:val="•"/>
      <w:lvlJc w:val="left"/>
      <w:pPr>
        <w:ind w:left="7878" w:hanging="408"/>
      </w:pPr>
      <w:rPr>
        <w:rFonts w:hint="default"/>
        <w:lang w:val="en-US" w:eastAsia="en-US" w:bidi="ar-SA"/>
      </w:rPr>
    </w:lvl>
    <w:lvl w:ilvl="8" w:tplc="8C58A970">
      <w:numFmt w:val="bullet"/>
      <w:lvlText w:val="•"/>
      <w:lvlJc w:val="left"/>
      <w:pPr>
        <w:ind w:left="8781" w:hanging="408"/>
      </w:pPr>
      <w:rPr>
        <w:rFonts w:hint="default"/>
        <w:lang w:val="en-US" w:eastAsia="en-US" w:bidi="ar-SA"/>
      </w:rPr>
    </w:lvl>
  </w:abstractNum>
  <w:abstractNum w:abstractNumId="23" w15:restartNumberingAfterBreak="0">
    <w:nsid w:val="31F257F7"/>
    <w:multiLevelType w:val="hybridMultilevel"/>
    <w:tmpl w:val="C284FC6A"/>
    <w:lvl w:ilvl="0" w:tplc="04100017">
      <w:start w:val="1"/>
      <w:numFmt w:val="lowerLetter"/>
      <w:lvlText w:val="%1)"/>
      <w:lvlJc w:val="left"/>
      <w:pPr>
        <w:ind w:left="833" w:hanging="360"/>
      </w:pPr>
    </w:lvl>
    <w:lvl w:ilvl="1" w:tplc="08130019" w:tentative="1">
      <w:start w:val="1"/>
      <w:numFmt w:val="lowerLetter"/>
      <w:lvlText w:val="%2."/>
      <w:lvlJc w:val="left"/>
      <w:pPr>
        <w:ind w:left="1553" w:hanging="360"/>
      </w:pPr>
    </w:lvl>
    <w:lvl w:ilvl="2" w:tplc="0813001B" w:tentative="1">
      <w:start w:val="1"/>
      <w:numFmt w:val="lowerRoman"/>
      <w:lvlText w:val="%3."/>
      <w:lvlJc w:val="right"/>
      <w:pPr>
        <w:ind w:left="2273" w:hanging="180"/>
      </w:pPr>
    </w:lvl>
    <w:lvl w:ilvl="3" w:tplc="0813000F" w:tentative="1">
      <w:start w:val="1"/>
      <w:numFmt w:val="decimal"/>
      <w:lvlText w:val="%4."/>
      <w:lvlJc w:val="left"/>
      <w:pPr>
        <w:ind w:left="2993" w:hanging="360"/>
      </w:pPr>
    </w:lvl>
    <w:lvl w:ilvl="4" w:tplc="08130019" w:tentative="1">
      <w:start w:val="1"/>
      <w:numFmt w:val="lowerLetter"/>
      <w:lvlText w:val="%5."/>
      <w:lvlJc w:val="left"/>
      <w:pPr>
        <w:ind w:left="3713" w:hanging="360"/>
      </w:pPr>
    </w:lvl>
    <w:lvl w:ilvl="5" w:tplc="0813001B" w:tentative="1">
      <w:start w:val="1"/>
      <w:numFmt w:val="lowerRoman"/>
      <w:lvlText w:val="%6."/>
      <w:lvlJc w:val="right"/>
      <w:pPr>
        <w:ind w:left="4433" w:hanging="180"/>
      </w:pPr>
    </w:lvl>
    <w:lvl w:ilvl="6" w:tplc="0813000F" w:tentative="1">
      <w:start w:val="1"/>
      <w:numFmt w:val="decimal"/>
      <w:lvlText w:val="%7."/>
      <w:lvlJc w:val="left"/>
      <w:pPr>
        <w:ind w:left="5153" w:hanging="360"/>
      </w:pPr>
    </w:lvl>
    <w:lvl w:ilvl="7" w:tplc="08130019" w:tentative="1">
      <w:start w:val="1"/>
      <w:numFmt w:val="lowerLetter"/>
      <w:lvlText w:val="%8."/>
      <w:lvlJc w:val="left"/>
      <w:pPr>
        <w:ind w:left="5873" w:hanging="360"/>
      </w:pPr>
    </w:lvl>
    <w:lvl w:ilvl="8" w:tplc="0813001B" w:tentative="1">
      <w:start w:val="1"/>
      <w:numFmt w:val="lowerRoman"/>
      <w:lvlText w:val="%9."/>
      <w:lvlJc w:val="right"/>
      <w:pPr>
        <w:ind w:left="6593" w:hanging="180"/>
      </w:pPr>
    </w:lvl>
  </w:abstractNum>
  <w:abstractNum w:abstractNumId="24" w15:restartNumberingAfterBreak="0">
    <w:nsid w:val="34850D6F"/>
    <w:multiLevelType w:val="hybridMultilevel"/>
    <w:tmpl w:val="03E27002"/>
    <w:lvl w:ilvl="0" w:tplc="04100019">
      <w:start w:val="1"/>
      <w:numFmt w:val="lowerLetter"/>
      <w:lvlText w:val="%1."/>
      <w:lvlJc w:val="left"/>
      <w:pPr>
        <w:ind w:left="1854"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25" w15:restartNumberingAfterBreak="0">
    <w:nsid w:val="35EB2692"/>
    <w:multiLevelType w:val="hybridMultilevel"/>
    <w:tmpl w:val="F7CE3CB2"/>
    <w:lvl w:ilvl="0" w:tplc="C3C860A6">
      <w:start w:val="1"/>
      <w:numFmt w:val="lowerLetter"/>
      <w:lvlText w:val="(%1)"/>
      <w:lvlJc w:val="left"/>
      <w:pPr>
        <w:ind w:left="1193" w:hanging="325"/>
      </w:pPr>
      <w:rPr>
        <w:rFonts w:ascii="Cambria" w:eastAsia="Cambria" w:hAnsi="Cambria" w:cs="Cambria" w:hint="default"/>
        <w:w w:val="100"/>
        <w:sz w:val="22"/>
        <w:szCs w:val="22"/>
        <w:lang w:val="en-US" w:eastAsia="en-US" w:bidi="ar-SA"/>
      </w:rPr>
    </w:lvl>
    <w:lvl w:ilvl="1" w:tplc="4DECB63A">
      <w:numFmt w:val="bullet"/>
      <w:lvlText w:val="•"/>
      <w:lvlJc w:val="left"/>
      <w:pPr>
        <w:ind w:left="2138" w:hanging="325"/>
      </w:pPr>
      <w:rPr>
        <w:rFonts w:hint="default"/>
        <w:lang w:val="en-US" w:eastAsia="en-US" w:bidi="ar-SA"/>
      </w:rPr>
    </w:lvl>
    <w:lvl w:ilvl="2" w:tplc="6B5E6DA8">
      <w:numFmt w:val="bullet"/>
      <w:lvlText w:val="•"/>
      <w:lvlJc w:val="left"/>
      <w:pPr>
        <w:ind w:left="3077" w:hanging="325"/>
      </w:pPr>
      <w:rPr>
        <w:rFonts w:hint="default"/>
        <w:lang w:val="en-US" w:eastAsia="en-US" w:bidi="ar-SA"/>
      </w:rPr>
    </w:lvl>
    <w:lvl w:ilvl="3" w:tplc="658E7432">
      <w:numFmt w:val="bullet"/>
      <w:lvlText w:val="•"/>
      <w:lvlJc w:val="left"/>
      <w:pPr>
        <w:ind w:left="4015" w:hanging="325"/>
      </w:pPr>
      <w:rPr>
        <w:rFonts w:hint="default"/>
        <w:lang w:val="en-US" w:eastAsia="en-US" w:bidi="ar-SA"/>
      </w:rPr>
    </w:lvl>
    <w:lvl w:ilvl="4" w:tplc="35BCD978">
      <w:numFmt w:val="bullet"/>
      <w:lvlText w:val="•"/>
      <w:lvlJc w:val="left"/>
      <w:pPr>
        <w:ind w:left="4954" w:hanging="325"/>
      </w:pPr>
      <w:rPr>
        <w:rFonts w:hint="default"/>
        <w:lang w:val="en-US" w:eastAsia="en-US" w:bidi="ar-SA"/>
      </w:rPr>
    </w:lvl>
    <w:lvl w:ilvl="5" w:tplc="5A32C5D6">
      <w:numFmt w:val="bullet"/>
      <w:lvlText w:val="•"/>
      <w:lvlJc w:val="left"/>
      <w:pPr>
        <w:ind w:left="5893" w:hanging="325"/>
      </w:pPr>
      <w:rPr>
        <w:rFonts w:hint="default"/>
        <w:lang w:val="en-US" w:eastAsia="en-US" w:bidi="ar-SA"/>
      </w:rPr>
    </w:lvl>
    <w:lvl w:ilvl="6" w:tplc="3AAC6002">
      <w:numFmt w:val="bullet"/>
      <w:lvlText w:val="•"/>
      <w:lvlJc w:val="left"/>
      <w:pPr>
        <w:ind w:left="6831" w:hanging="325"/>
      </w:pPr>
      <w:rPr>
        <w:rFonts w:hint="default"/>
        <w:lang w:val="en-US" w:eastAsia="en-US" w:bidi="ar-SA"/>
      </w:rPr>
    </w:lvl>
    <w:lvl w:ilvl="7" w:tplc="C22A798E">
      <w:numFmt w:val="bullet"/>
      <w:lvlText w:val="•"/>
      <w:lvlJc w:val="left"/>
      <w:pPr>
        <w:ind w:left="7770" w:hanging="325"/>
      </w:pPr>
      <w:rPr>
        <w:rFonts w:hint="default"/>
        <w:lang w:val="en-US" w:eastAsia="en-US" w:bidi="ar-SA"/>
      </w:rPr>
    </w:lvl>
    <w:lvl w:ilvl="8" w:tplc="9F0ABAEA">
      <w:numFmt w:val="bullet"/>
      <w:lvlText w:val="•"/>
      <w:lvlJc w:val="left"/>
      <w:pPr>
        <w:ind w:left="8709" w:hanging="325"/>
      </w:pPr>
      <w:rPr>
        <w:rFonts w:hint="default"/>
        <w:lang w:val="en-US" w:eastAsia="en-US" w:bidi="ar-SA"/>
      </w:rPr>
    </w:lvl>
  </w:abstractNum>
  <w:abstractNum w:abstractNumId="26" w15:restartNumberingAfterBreak="0">
    <w:nsid w:val="371D0AEE"/>
    <w:multiLevelType w:val="hybridMultilevel"/>
    <w:tmpl w:val="FF3E768E"/>
    <w:lvl w:ilvl="0" w:tplc="04100001">
      <w:start w:val="1"/>
      <w:numFmt w:val="bullet"/>
      <w:lvlText w:val=""/>
      <w:lvlJc w:val="left"/>
      <w:pPr>
        <w:ind w:left="1910" w:hanging="360"/>
      </w:pPr>
      <w:rPr>
        <w:rFonts w:ascii="Symbol" w:hAnsi="Symbol" w:hint="default"/>
      </w:rPr>
    </w:lvl>
    <w:lvl w:ilvl="1" w:tplc="04100003" w:tentative="1">
      <w:start w:val="1"/>
      <w:numFmt w:val="bullet"/>
      <w:lvlText w:val="o"/>
      <w:lvlJc w:val="left"/>
      <w:pPr>
        <w:ind w:left="2630" w:hanging="360"/>
      </w:pPr>
      <w:rPr>
        <w:rFonts w:ascii="Courier New" w:hAnsi="Courier New" w:cs="Courier New" w:hint="default"/>
      </w:rPr>
    </w:lvl>
    <w:lvl w:ilvl="2" w:tplc="04100005" w:tentative="1">
      <w:start w:val="1"/>
      <w:numFmt w:val="bullet"/>
      <w:lvlText w:val=""/>
      <w:lvlJc w:val="left"/>
      <w:pPr>
        <w:ind w:left="3350" w:hanging="360"/>
      </w:pPr>
      <w:rPr>
        <w:rFonts w:ascii="Wingdings" w:hAnsi="Wingdings" w:hint="default"/>
      </w:rPr>
    </w:lvl>
    <w:lvl w:ilvl="3" w:tplc="04100001" w:tentative="1">
      <w:start w:val="1"/>
      <w:numFmt w:val="bullet"/>
      <w:lvlText w:val=""/>
      <w:lvlJc w:val="left"/>
      <w:pPr>
        <w:ind w:left="4070" w:hanging="360"/>
      </w:pPr>
      <w:rPr>
        <w:rFonts w:ascii="Symbol" w:hAnsi="Symbol" w:hint="default"/>
      </w:rPr>
    </w:lvl>
    <w:lvl w:ilvl="4" w:tplc="04100003" w:tentative="1">
      <w:start w:val="1"/>
      <w:numFmt w:val="bullet"/>
      <w:lvlText w:val="o"/>
      <w:lvlJc w:val="left"/>
      <w:pPr>
        <w:ind w:left="4790" w:hanging="360"/>
      </w:pPr>
      <w:rPr>
        <w:rFonts w:ascii="Courier New" w:hAnsi="Courier New" w:cs="Courier New" w:hint="default"/>
      </w:rPr>
    </w:lvl>
    <w:lvl w:ilvl="5" w:tplc="04100005" w:tentative="1">
      <w:start w:val="1"/>
      <w:numFmt w:val="bullet"/>
      <w:lvlText w:val=""/>
      <w:lvlJc w:val="left"/>
      <w:pPr>
        <w:ind w:left="5510" w:hanging="360"/>
      </w:pPr>
      <w:rPr>
        <w:rFonts w:ascii="Wingdings" w:hAnsi="Wingdings" w:hint="default"/>
      </w:rPr>
    </w:lvl>
    <w:lvl w:ilvl="6" w:tplc="04100001" w:tentative="1">
      <w:start w:val="1"/>
      <w:numFmt w:val="bullet"/>
      <w:lvlText w:val=""/>
      <w:lvlJc w:val="left"/>
      <w:pPr>
        <w:ind w:left="6230" w:hanging="360"/>
      </w:pPr>
      <w:rPr>
        <w:rFonts w:ascii="Symbol" w:hAnsi="Symbol" w:hint="default"/>
      </w:rPr>
    </w:lvl>
    <w:lvl w:ilvl="7" w:tplc="04100003" w:tentative="1">
      <w:start w:val="1"/>
      <w:numFmt w:val="bullet"/>
      <w:lvlText w:val="o"/>
      <w:lvlJc w:val="left"/>
      <w:pPr>
        <w:ind w:left="6950" w:hanging="360"/>
      </w:pPr>
      <w:rPr>
        <w:rFonts w:ascii="Courier New" w:hAnsi="Courier New" w:cs="Courier New" w:hint="default"/>
      </w:rPr>
    </w:lvl>
    <w:lvl w:ilvl="8" w:tplc="04100005" w:tentative="1">
      <w:start w:val="1"/>
      <w:numFmt w:val="bullet"/>
      <w:lvlText w:val=""/>
      <w:lvlJc w:val="left"/>
      <w:pPr>
        <w:ind w:left="7670" w:hanging="360"/>
      </w:pPr>
      <w:rPr>
        <w:rFonts w:ascii="Wingdings" w:hAnsi="Wingdings" w:hint="default"/>
      </w:rPr>
    </w:lvl>
  </w:abstractNum>
  <w:abstractNum w:abstractNumId="27" w15:restartNumberingAfterBreak="0">
    <w:nsid w:val="37C66FB8"/>
    <w:multiLevelType w:val="hybridMultilevel"/>
    <w:tmpl w:val="6F661C6A"/>
    <w:lvl w:ilvl="0" w:tplc="224AED12">
      <w:numFmt w:val="bullet"/>
      <w:lvlText w:val=""/>
      <w:lvlJc w:val="left"/>
      <w:pPr>
        <w:ind w:left="720" w:hanging="360"/>
      </w:pPr>
      <w:rPr>
        <w:rFonts w:ascii="Symbol" w:eastAsia="Symbol" w:hAnsi="Symbol" w:cs="Symbol" w:hint="default"/>
        <w:w w:val="100"/>
        <w:sz w:val="22"/>
        <w:szCs w:val="22"/>
        <w:lang w:val="en-US"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CF94E6E"/>
    <w:multiLevelType w:val="hybridMultilevel"/>
    <w:tmpl w:val="365002BE"/>
    <w:lvl w:ilvl="0" w:tplc="04100017">
      <w:start w:val="1"/>
      <w:numFmt w:val="lowerLetter"/>
      <w:lvlText w:val="%1)"/>
      <w:lvlJc w:val="left"/>
      <w:pPr>
        <w:ind w:left="1912" w:hanging="360"/>
      </w:pPr>
    </w:lvl>
    <w:lvl w:ilvl="1" w:tplc="04100019" w:tentative="1">
      <w:start w:val="1"/>
      <w:numFmt w:val="lowerLetter"/>
      <w:lvlText w:val="%2."/>
      <w:lvlJc w:val="left"/>
      <w:pPr>
        <w:ind w:left="2632" w:hanging="360"/>
      </w:pPr>
    </w:lvl>
    <w:lvl w:ilvl="2" w:tplc="0410001B" w:tentative="1">
      <w:start w:val="1"/>
      <w:numFmt w:val="lowerRoman"/>
      <w:lvlText w:val="%3."/>
      <w:lvlJc w:val="right"/>
      <w:pPr>
        <w:ind w:left="3352" w:hanging="180"/>
      </w:pPr>
    </w:lvl>
    <w:lvl w:ilvl="3" w:tplc="0410000F" w:tentative="1">
      <w:start w:val="1"/>
      <w:numFmt w:val="decimal"/>
      <w:lvlText w:val="%4."/>
      <w:lvlJc w:val="left"/>
      <w:pPr>
        <w:ind w:left="4072" w:hanging="360"/>
      </w:pPr>
    </w:lvl>
    <w:lvl w:ilvl="4" w:tplc="04100019" w:tentative="1">
      <w:start w:val="1"/>
      <w:numFmt w:val="lowerLetter"/>
      <w:lvlText w:val="%5."/>
      <w:lvlJc w:val="left"/>
      <w:pPr>
        <w:ind w:left="4792" w:hanging="360"/>
      </w:pPr>
    </w:lvl>
    <w:lvl w:ilvl="5" w:tplc="0410001B" w:tentative="1">
      <w:start w:val="1"/>
      <w:numFmt w:val="lowerRoman"/>
      <w:lvlText w:val="%6."/>
      <w:lvlJc w:val="right"/>
      <w:pPr>
        <w:ind w:left="5512" w:hanging="180"/>
      </w:pPr>
    </w:lvl>
    <w:lvl w:ilvl="6" w:tplc="0410000F" w:tentative="1">
      <w:start w:val="1"/>
      <w:numFmt w:val="decimal"/>
      <w:lvlText w:val="%7."/>
      <w:lvlJc w:val="left"/>
      <w:pPr>
        <w:ind w:left="6232" w:hanging="360"/>
      </w:pPr>
    </w:lvl>
    <w:lvl w:ilvl="7" w:tplc="04100019" w:tentative="1">
      <w:start w:val="1"/>
      <w:numFmt w:val="lowerLetter"/>
      <w:lvlText w:val="%8."/>
      <w:lvlJc w:val="left"/>
      <w:pPr>
        <w:ind w:left="6952" w:hanging="360"/>
      </w:pPr>
    </w:lvl>
    <w:lvl w:ilvl="8" w:tplc="0410001B" w:tentative="1">
      <w:start w:val="1"/>
      <w:numFmt w:val="lowerRoman"/>
      <w:lvlText w:val="%9."/>
      <w:lvlJc w:val="right"/>
      <w:pPr>
        <w:ind w:left="7672" w:hanging="180"/>
      </w:pPr>
    </w:lvl>
  </w:abstractNum>
  <w:abstractNum w:abstractNumId="29" w15:restartNumberingAfterBreak="0">
    <w:nsid w:val="3FD92138"/>
    <w:multiLevelType w:val="hybridMultilevel"/>
    <w:tmpl w:val="45425FDC"/>
    <w:lvl w:ilvl="0" w:tplc="224AED12">
      <w:numFmt w:val="bullet"/>
      <w:lvlText w:val=""/>
      <w:lvlJc w:val="left"/>
      <w:pPr>
        <w:ind w:left="720" w:hanging="360"/>
      </w:pPr>
      <w:rPr>
        <w:rFonts w:ascii="Symbol" w:eastAsia="Symbol" w:hAnsi="Symbol" w:cs="Symbol" w:hint="default"/>
        <w:w w:val="100"/>
        <w:sz w:val="22"/>
        <w:szCs w:val="22"/>
        <w:lang w:val="en-US"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56A435F"/>
    <w:multiLevelType w:val="hybridMultilevel"/>
    <w:tmpl w:val="87C8A8BA"/>
    <w:lvl w:ilvl="0" w:tplc="6EC4C4EC">
      <w:numFmt w:val="bullet"/>
      <w:lvlText w:val="-"/>
      <w:lvlJc w:val="left"/>
      <w:pPr>
        <w:ind w:left="833" w:hanging="360"/>
      </w:pPr>
      <w:rPr>
        <w:rFonts w:ascii="Cambria" w:eastAsia="Cambria" w:hAnsi="Cambria" w:cs="Cambria" w:hint="default"/>
        <w:w w:val="100"/>
        <w:sz w:val="22"/>
        <w:szCs w:val="22"/>
        <w:lang w:val="en-US" w:eastAsia="en-US" w:bidi="ar-SA"/>
      </w:rPr>
    </w:lvl>
    <w:lvl w:ilvl="1" w:tplc="1D046A4A">
      <w:numFmt w:val="bullet"/>
      <w:lvlText w:val="•"/>
      <w:lvlJc w:val="left"/>
      <w:pPr>
        <w:ind w:left="1814" w:hanging="360"/>
      </w:pPr>
      <w:rPr>
        <w:rFonts w:hint="default"/>
        <w:lang w:val="en-US" w:eastAsia="en-US" w:bidi="ar-SA"/>
      </w:rPr>
    </w:lvl>
    <w:lvl w:ilvl="2" w:tplc="20744D04">
      <w:numFmt w:val="bullet"/>
      <w:lvlText w:val="•"/>
      <w:lvlJc w:val="left"/>
      <w:pPr>
        <w:ind w:left="2789" w:hanging="360"/>
      </w:pPr>
      <w:rPr>
        <w:rFonts w:hint="default"/>
        <w:lang w:val="en-US" w:eastAsia="en-US" w:bidi="ar-SA"/>
      </w:rPr>
    </w:lvl>
    <w:lvl w:ilvl="3" w:tplc="F5EAB51C">
      <w:numFmt w:val="bullet"/>
      <w:lvlText w:val="•"/>
      <w:lvlJc w:val="left"/>
      <w:pPr>
        <w:ind w:left="3763" w:hanging="360"/>
      </w:pPr>
      <w:rPr>
        <w:rFonts w:hint="default"/>
        <w:lang w:val="en-US" w:eastAsia="en-US" w:bidi="ar-SA"/>
      </w:rPr>
    </w:lvl>
    <w:lvl w:ilvl="4" w:tplc="6EDA210A">
      <w:numFmt w:val="bullet"/>
      <w:lvlText w:val="•"/>
      <w:lvlJc w:val="left"/>
      <w:pPr>
        <w:ind w:left="4738" w:hanging="360"/>
      </w:pPr>
      <w:rPr>
        <w:rFonts w:hint="default"/>
        <w:lang w:val="en-US" w:eastAsia="en-US" w:bidi="ar-SA"/>
      </w:rPr>
    </w:lvl>
    <w:lvl w:ilvl="5" w:tplc="EB781A26">
      <w:numFmt w:val="bullet"/>
      <w:lvlText w:val="•"/>
      <w:lvlJc w:val="left"/>
      <w:pPr>
        <w:ind w:left="5713" w:hanging="360"/>
      </w:pPr>
      <w:rPr>
        <w:rFonts w:hint="default"/>
        <w:lang w:val="en-US" w:eastAsia="en-US" w:bidi="ar-SA"/>
      </w:rPr>
    </w:lvl>
    <w:lvl w:ilvl="6" w:tplc="876007F8">
      <w:numFmt w:val="bullet"/>
      <w:lvlText w:val="•"/>
      <w:lvlJc w:val="left"/>
      <w:pPr>
        <w:ind w:left="6687" w:hanging="360"/>
      </w:pPr>
      <w:rPr>
        <w:rFonts w:hint="default"/>
        <w:lang w:val="en-US" w:eastAsia="en-US" w:bidi="ar-SA"/>
      </w:rPr>
    </w:lvl>
    <w:lvl w:ilvl="7" w:tplc="F09E6806">
      <w:numFmt w:val="bullet"/>
      <w:lvlText w:val="•"/>
      <w:lvlJc w:val="left"/>
      <w:pPr>
        <w:ind w:left="7662" w:hanging="360"/>
      </w:pPr>
      <w:rPr>
        <w:rFonts w:hint="default"/>
        <w:lang w:val="en-US" w:eastAsia="en-US" w:bidi="ar-SA"/>
      </w:rPr>
    </w:lvl>
    <w:lvl w:ilvl="8" w:tplc="13E6B14A">
      <w:numFmt w:val="bullet"/>
      <w:lvlText w:val="•"/>
      <w:lvlJc w:val="left"/>
      <w:pPr>
        <w:ind w:left="8637" w:hanging="360"/>
      </w:pPr>
      <w:rPr>
        <w:rFonts w:hint="default"/>
        <w:lang w:val="en-US" w:eastAsia="en-US" w:bidi="ar-SA"/>
      </w:rPr>
    </w:lvl>
  </w:abstractNum>
  <w:abstractNum w:abstractNumId="31" w15:restartNumberingAfterBreak="0">
    <w:nsid w:val="53A65A1A"/>
    <w:multiLevelType w:val="hybridMultilevel"/>
    <w:tmpl w:val="AD9CDD18"/>
    <w:lvl w:ilvl="0" w:tplc="79CADE4C">
      <w:numFmt w:val="bullet"/>
      <w:lvlText w:val=""/>
      <w:lvlJc w:val="left"/>
      <w:pPr>
        <w:ind w:left="833" w:hanging="360"/>
      </w:pPr>
      <w:rPr>
        <w:rFonts w:ascii="Symbol" w:eastAsia="Symbol" w:hAnsi="Symbol" w:cs="Symbol" w:hint="default"/>
        <w:w w:val="100"/>
        <w:sz w:val="22"/>
        <w:szCs w:val="22"/>
        <w:lang w:val="en-US" w:eastAsia="en-US" w:bidi="ar-SA"/>
      </w:rPr>
    </w:lvl>
    <w:lvl w:ilvl="1" w:tplc="98D00E24">
      <w:numFmt w:val="bullet"/>
      <w:lvlText w:val="•"/>
      <w:lvlJc w:val="left"/>
      <w:pPr>
        <w:ind w:left="1814" w:hanging="360"/>
      </w:pPr>
      <w:rPr>
        <w:rFonts w:hint="default"/>
        <w:lang w:val="en-US" w:eastAsia="en-US" w:bidi="ar-SA"/>
      </w:rPr>
    </w:lvl>
    <w:lvl w:ilvl="2" w:tplc="BC0A7524">
      <w:numFmt w:val="bullet"/>
      <w:lvlText w:val="•"/>
      <w:lvlJc w:val="left"/>
      <w:pPr>
        <w:ind w:left="2789" w:hanging="360"/>
      </w:pPr>
      <w:rPr>
        <w:rFonts w:hint="default"/>
        <w:lang w:val="en-US" w:eastAsia="en-US" w:bidi="ar-SA"/>
      </w:rPr>
    </w:lvl>
    <w:lvl w:ilvl="3" w:tplc="432A2B72">
      <w:numFmt w:val="bullet"/>
      <w:lvlText w:val="•"/>
      <w:lvlJc w:val="left"/>
      <w:pPr>
        <w:ind w:left="3763" w:hanging="360"/>
      </w:pPr>
      <w:rPr>
        <w:rFonts w:hint="default"/>
        <w:lang w:val="en-US" w:eastAsia="en-US" w:bidi="ar-SA"/>
      </w:rPr>
    </w:lvl>
    <w:lvl w:ilvl="4" w:tplc="095EB46E">
      <w:numFmt w:val="bullet"/>
      <w:lvlText w:val="•"/>
      <w:lvlJc w:val="left"/>
      <w:pPr>
        <w:ind w:left="4738" w:hanging="360"/>
      </w:pPr>
      <w:rPr>
        <w:rFonts w:hint="default"/>
        <w:lang w:val="en-US" w:eastAsia="en-US" w:bidi="ar-SA"/>
      </w:rPr>
    </w:lvl>
    <w:lvl w:ilvl="5" w:tplc="62141BC4">
      <w:numFmt w:val="bullet"/>
      <w:lvlText w:val="•"/>
      <w:lvlJc w:val="left"/>
      <w:pPr>
        <w:ind w:left="5713" w:hanging="360"/>
      </w:pPr>
      <w:rPr>
        <w:rFonts w:hint="default"/>
        <w:lang w:val="en-US" w:eastAsia="en-US" w:bidi="ar-SA"/>
      </w:rPr>
    </w:lvl>
    <w:lvl w:ilvl="6" w:tplc="A4582D02">
      <w:numFmt w:val="bullet"/>
      <w:lvlText w:val="•"/>
      <w:lvlJc w:val="left"/>
      <w:pPr>
        <w:ind w:left="6687" w:hanging="360"/>
      </w:pPr>
      <w:rPr>
        <w:rFonts w:hint="default"/>
        <w:lang w:val="en-US" w:eastAsia="en-US" w:bidi="ar-SA"/>
      </w:rPr>
    </w:lvl>
    <w:lvl w:ilvl="7" w:tplc="30DA9AFE">
      <w:numFmt w:val="bullet"/>
      <w:lvlText w:val="•"/>
      <w:lvlJc w:val="left"/>
      <w:pPr>
        <w:ind w:left="7662" w:hanging="360"/>
      </w:pPr>
      <w:rPr>
        <w:rFonts w:hint="default"/>
        <w:lang w:val="en-US" w:eastAsia="en-US" w:bidi="ar-SA"/>
      </w:rPr>
    </w:lvl>
    <w:lvl w:ilvl="8" w:tplc="9DDCAB52">
      <w:numFmt w:val="bullet"/>
      <w:lvlText w:val="•"/>
      <w:lvlJc w:val="left"/>
      <w:pPr>
        <w:ind w:left="8637" w:hanging="360"/>
      </w:pPr>
      <w:rPr>
        <w:rFonts w:hint="default"/>
        <w:lang w:val="en-US" w:eastAsia="en-US" w:bidi="ar-SA"/>
      </w:rPr>
    </w:lvl>
  </w:abstractNum>
  <w:abstractNum w:abstractNumId="32" w15:restartNumberingAfterBreak="0">
    <w:nsid w:val="58C255EB"/>
    <w:multiLevelType w:val="multilevel"/>
    <w:tmpl w:val="8CDA1AAE"/>
    <w:lvl w:ilvl="0">
      <w:start w:val="6"/>
      <w:numFmt w:val="upperRoman"/>
      <w:lvlText w:val="%1"/>
      <w:lvlJc w:val="left"/>
      <w:pPr>
        <w:ind w:left="727" w:hanging="615"/>
      </w:pPr>
      <w:rPr>
        <w:rFonts w:hint="default"/>
        <w:lang w:val="en-US" w:eastAsia="en-US" w:bidi="ar-SA"/>
      </w:rPr>
    </w:lvl>
    <w:lvl w:ilvl="1">
      <w:start w:val="1"/>
      <w:numFmt w:val="decimal"/>
      <w:lvlText w:val="%1.%2."/>
      <w:lvlJc w:val="left"/>
      <w:pPr>
        <w:ind w:left="727" w:hanging="615"/>
      </w:pPr>
      <w:rPr>
        <w:rFonts w:ascii="Cambria" w:eastAsia="Cambria" w:hAnsi="Cambria" w:cs="Cambria" w:hint="default"/>
        <w:b/>
        <w:bCs/>
        <w:spacing w:val="-2"/>
        <w:w w:val="100"/>
        <w:sz w:val="22"/>
        <w:szCs w:val="22"/>
        <w:lang w:val="en-US" w:eastAsia="en-US" w:bidi="ar-SA"/>
      </w:rPr>
    </w:lvl>
    <w:lvl w:ilvl="2">
      <w:numFmt w:val="bullet"/>
      <w:lvlText w:val=""/>
      <w:lvlJc w:val="left"/>
      <w:pPr>
        <w:ind w:left="833" w:hanging="360"/>
      </w:pPr>
      <w:rPr>
        <w:rFonts w:ascii="Symbol" w:eastAsia="Symbol" w:hAnsi="Symbol" w:cs="Symbol" w:hint="default"/>
        <w:w w:val="100"/>
        <w:sz w:val="22"/>
        <w:szCs w:val="22"/>
        <w:lang w:val="en-US" w:eastAsia="en-US" w:bidi="ar-SA"/>
      </w:rPr>
    </w:lvl>
    <w:lvl w:ilvl="3">
      <w:numFmt w:val="bullet"/>
      <w:lvlText w:val=""/>
      <w:lvlJc w:val="left"/>
      <w:pPr>
        <w:ind w:left="1553" w:hanging="360"/>
      </w:pPr>
      <w:rPr>
        <w:rFonts w:ascii="Symbol" w:eastAsia="Symbol" w:hAnsi="Symbol" w:cs="Symbol" w:hint="default"/>
        <w:w w:val="100"/>
        <w:sz w:val="22"/>
        <w:szCs w:val="22"/>
        <w:lang w:val="en-US" w:eastAsia="en-US" w:bidi="ar-SA"/>
      </w:rPr>
    </w:lvl>
    <w:lvl w:ilvl="4">
      <w:numFmt w:val="bullet"/>
      <w:lvlText w:val="•"/>
      <w:lvlJc w:val="left"/>
      <w:pPr>
        <w:ind w:left="3816" w:hanging="360"/>
      </w:pPr>
      <w:rPr>
        <w:rFonts w:hint="default"/>
        <w:lang w:val="en-US" w:eastAsia="en-US" w:bidi="ar-SA"/>
      </w:rPr>
    </w:lvl>
    <w:lvl w:ilvl="5">
      <w:numFmt w:val="bullet"/>
      <w:lvlText w:val="•"/>
      <w:lvlJc w:val="left"/>
      <w:pPr>
        <w:ind w:left="4944" w:hanging="360"/>
      </w:pPr>
      <w:rPr>
        <w:rFonts w:hint="default"/>
        <w:lang w:val="en-US" w:eastAsia="en-US" w:bidi="ar-SA"/>
      </w:rPr>
    </w:lvl>
    <w:lvl w:ilvl="6">
      <w:numFmt w:val="bullet"/>
      <w:lvlText w:val="•"/>
      <w:lvlJc w:val="left"/>
      <w:pPr>
        <w:ind w:left="6073" w:hanging="360"/>
      </w:pPr>
      <w:rPr>
        <w:rFonts w:hint="default"/>
        <w:lang w:val="en-US" w:eastAsia="en-US" w:bidi="ar-SA"/>
      </w:rPr>
    </w:lvl>
    <w:lvl w:ilvl="7">
      <w:numFmt w:val="bullet"/>
      <w:lvlText w:val="•"/>
      <w:lvlJc w:val="left"/>
      <w:pPr>
        <w:ind w:left="7201" w:hanging="360"/>
      </w:pPr>
      <w:rPr>
        <w:rFonts w:hint="default"/>
        <w:lang w:val="en-US" w:eastAsia="en-US" w:bidi="ar-SA"/>
      </w:rPr>
    </w:lvl>
    <w:lvl w:ilvl="8">
      <w:numFmt w:val="bullet"/>
      <w:lvlText w:val="•"/>
      <w:lvlJc w:val="left"/>
      <w:pPr>
        <w:ind w:left="8329" w:hanging="360"/>
      </w:pPr>
      <w:rPr>
        <w:rFonts w:hint="default"/>
        <w:lang w:val="en-US" w:eastAsia="en-US" w:bidi="ar-SA"/>
      </w:rPr>
    </w:lvl>
  </w:abstractNum>
  <w:abstractNum w:abstractNumId="33" w15:restartNumberingAfterBreak="0">
    <w:nsid w:val="5A3C6B87"/>
    <w:multiLevelType w:val="hybridMultilevel"/>
    <w:tmpl w:val="1A687DCC"/>
    <w:lvl w:ilvl="0" w:tplc="0410000B">
      <w:start w:val="1"/>
      <w:numFmt w:val="bullet"/>
      <w:lvlText w:val=""/>
      <w:lvlJc w:val="left"/>
      <w:pPr>
        <w:ind w:left="465" w:hanging="360"/>
      </w:pPr>
      <w:rPr>
        <w:rFonts w:ascii="Wingdings" w:hAnsi="Wingdings" w:hint="default"/>
      </w:rPr>
    </w:lvl>
    <w:lvl w:ilvl="1" w:tplc="04100001">
      <w:start w:val="1"/>
      <w:numFmt w:val="bullet"/>
      <w:lvlText w:val=""/>
      <w:lvlJc w:val="left"/>
      <w:pPr>
        <w:ind w:left="1185" w:hanging="360"/>
      </w:pPr>
      <w:rPr>
        <w:rFonts w:ascii="Symbol" w:hAnsi="Symbol" w:hint="default"/>
      </w:rPr>
    </w:lvl>
    <w:lvl w:ilvl="2" w:tplc="04100005">
      <w:start w:val="1"/>
      <w:numFmt w:val="bullet"/>
      <w:lvlText w:val=""/>
      <w:lvlJc w:val="left"/>
      <w:pPr>
        <w:ind w:left="1905" w:hanging="360"/>
      </w:pPr>
      <w:rPr>
        <w:rFonts w:ascii="Wingdings" w:hAnsi="Wingdings" w:hint="default"/>
      </w:rPr>
    </w:lvl>
    <w:lvl w:ilvl="3" w:tplc="04100001">
      <w:start w:val="1"/>
      <w:numFmt w:val="bullet"/>
      <w:lvlText w:val=""/>
      <w:lvlJc w:val="left"/>
      <w:pPr>
        <w:ind w:left="2625" w:hanging="360"/>
      </w:pPr>
      <w:rPr>
        <w:rFonts w:ascii="Symbol" w:hAnsi="Symbol" w:hint="default"/>
      </w:rPr>
    </w:lvl>
    <w:lvl w:ilvl="4" w:tplc="04100003">
      <w:start w:val="1"/>
      <w:numFmt w:val="bullet"/>
      <w:lvlText w:val="o"/>
      <w:lvlJc w:val="left"/>
      <w:pPr>
        <w:ind w:left="3345" w:hanging="360"/>
      </w:pPr>
      <w:rPr>
        <w:rFonts w:ascii="Courier New" w:hAnsi="Courier New" w:cs="Courier New" w:hint="default"/>
      </w:rPr>
    </w:lvl>
    <w:lvl w:ilvl="5" w:tplc="04100005">
      <w:start w:val="1"/>
      <w:numFmt w:val="bullet"/>
      <w:lvlText w:val=""/>
      <w:lvlJc w:val="left"/>
      <w:pPr>
        <w:ind w:left="4065" w:hanging="360"/>
      </w:pPr>
      <w:rPr>
        <w:rFonts w:ascii="Wingdings" w:hAnsi="Wingdings" w:hint="default"/>
      </w:rPr>
    </w:lvl>
    <w:lvl w:ilvl="6" w:tplc="04100001">
      <w:start w:val="1"/>
      <w:numFmt w:val="bullet"/>
      <w:lvlText w:val=""/>
      <w:lvlJc w:val="left"/>
      <w:pPr>
        <w:ind w:left="4785" w:hanging="360"/>
      </w:pPr>
      <w:rPr>
        <w:rFonts w:ascii="Symbol" w:hAnsi="Symbol" w:hint="default"/>
      </w:rPr>
    </w:lvl>
    <w:lvl w:ilvl="7" w:tplc="04100003" w:tentative="1">
      <w:start w:val="1"/>
      <w:numFmt w:val="bullet"/>
      <w:lvlText w:val="o"/>
      <w:lvlJc w:val="left"/>
      <w:pPr>
        <w:ind w:left="5505" w:hanging="360"/>
      </w:pPr>
      <w:rPr>
        <w:rFonts w:ascii="Courier New" w:hAnsi="Courier New" w:cs="Courier New" w:hint="default"/>
      </w:rPr>
    </w:lvl>
    <w:lvl w:ilvl="8" w:tplc="04100005" w:tentative="1">
      <w:start w:val="1"/>
      <w:numFmt w:val="bullet"/>
      <w:lvlText w:val=""/>
      <w:lvlJc w:val="left"/>
      <w:pPr>
        <w:ind w:left="6225" w:hanging="360"/>
      </w:pPr>
      <w:rPr>
        <w:rFonts w:ascii="Wingdings" w:hAnsi="Wingdings" w:hint="default"/>
      </w:rPr>
    </w:lvl>
  </w:abstractNum>
  <w:abstractNum w:abstractNumId="34" w15:restartNumberingAfterBreak="0">
    <w:nsid w:val="5AF8288F"/>
    <w:multiLevelType w:val="hybridMultilevel"/>
    <w:tmpl w:val="F350013C"/>
    <w:lvl w:ilvl="0" w:tplc="151C3FD4">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5" w15:restartNumberingAfterBreak="0">
    <w:nsid w:val="5F4C371D"/>
    <w:multiLevelType w:val="hybridMultilevel"/>
    <w:tmpl w:val="83527170"/>
    <w:lvl w:ilvl="0" w:tplc="224AED12">
      <w:numFmt w:val="bullet"/>
      <w:lvlText w:val=""/>
      <w:lvlJc w:val="left"/>
      <w:pPr>
        <w:ind w:left="1647" w:hanging="360"/>
      </w:pPr>
      <w:rPr>
        <w:rFonts w:ascii="Symbol" w:eastAsia="Symbol" w:hAnsi="Symbol" w:cs="Symbol" w:hint="default"/>
        <w:w w:val="100"/>
        <w:sz w:val="22"/>
        <w:szCs w:val="22"/>
        <w:lang w:val="en-US" w:eastAsia="en-US" w:bidi="ar-SA"/>
      </w:rPr>
    </w:lvl>
    <w:lvl w:ilvl="1" w:tplc="04100003" w:tentative="1">
      <w:start w:val="1"/>
      <w:numFmt w:val="bullet"/>
      <w:lvlText w:val="o"/>
      <w:lvlJc w:val="left"/>
      <w:pPr>
        <w:ind w:left="2367" w:hanging="360"/>
      </w:pPr>
      <w:rPr>
        <w:rFonts w:ascii="Courier New" w:hAnsi="Courier New" w:cs="Courier New" w:hint="default"/>
      </w:rPr>
    </w:lvl>
    <w:lvl w:ilvl="2" w:tplc="04100005" w:tentative="1">
      <w:start w:val="1"/>
      <w:numFmt w:val="bullet"/>
      <w:lvlText w:val=""/>
      <w:lvlJc w:val="left"/>
      <w:pPr>
        <w:ind w:left="3087" w:hanging="360"/>
      </w:pPr>
      <w:rPr>
        <w:rFonts w:ascii="Wingdings" w:hAnsi="Wingdings" w:hint="default"/>
      </w:rPr>
    </w:lvl>
    <w:lvl w:ilvl="3" w:tplc="04100001" w:tentative="1">
      <w:start w:val="1"/>
      <w:numFmt w:val="bullet"/>
      <w:lvlText w:val=""/>
      <w:lvlJc w:val="left"/>
      <w:pPr>
        <w:ind w:left="3807" w:hanging="360"/>
      </w:pPr>
      <w:rPr>
        <w:rFonts w:ascii="Symbol" w:hAnsi="Symbol" w:hint="default"/>
      </w:rPr>
    </w:lvl>
    <w:lvl w:ilvl="4" w:tplc="04100003" w:tentative="1">
      <w:start w:val="1"/>
      <w:numFmt w:val="bullet"/>
      <w:lvlText w:val="o"/>
      <w:lvlJc w:val="left"/>
      <w:pPr>
        <w:ind w:left="4527" w:hanging="360"/>
      </w:pPr>
      <w:rPr>
        <w:rFonts w:ascii="Courier New" w:hAnsi="Courier New" w:cs="Courier New" w:hint="default"/>
      </w:rPr>
    </w:lvl>
    <w:lvl w:ilvl="5" w:tplc="04100005" w:tentative="1">
      <w:start w:val="1"/>
      <w:numFmt w:val="bullet"/>
      <w:lvlText w:val=""/>
      <w:lvlJc w:val="left"/>
      <w:pPr>
        <w:ind w:left="5247" w:hanging="360"/>
      </w:pPr>
      <w:rPr>
        <w:rFonts w:ascii="Wingdings" w:hAnsi="Wingdings" w:hint="default"/>
      </w:rPr>
    </w:lvl>
    <w:lvl w:ilvl="6" w:tplc="04100001" w:tentative="1">
      <w:start w:val="1"/>
      <w:numFmt w:val="bullet"/>
      <w:lvlText w:val=""/>
      <w:lvlJc w:val="left"/>
      <w:pPr>
        <w:ind w:left="5967" w:hanging="360"/>
      </w:pPr>
      <w:rPr>
        <w:rFonts w:ascii="Symbol" w:hAnsi="Symbol" w:hint="default"/>
      </w:rPr>
    </w:lvl>
    <w:lvl w:ilvl="7" w:tplc="04100003" w:tentative="1">
      <w:start w:val="1"/>
      <w:numFmt w:val="bullet"/>
      <w:lvlText w:val="o"/>
      <w:lvlJc w:val="left"/>
      <w:pPr>
        <w:ind w:left="6687" w:hanging="360"/>
      </w:pPr>
      <w:rPr>
        <w:rFonts w:ascii="Courier New" w:hAnsi="Courier New" w:cs="Courier New" w:hint="default"/>
      </w:rPr>
    </w:lvl>
    <w:lvl w:ilvl="8" w:tplc="04100005" w:tentative="1">
      <w:start w:val="1"/>
      <w:numFmt w:val="bullet"/>
      <w:lvlText w:val=""/>
      <w:lvlJc w:val="left"/>
      <w:pPr>
        <w:ind w:left="7407" w:hanging="360"/>
      </w:pPr>
      <w:rPr>
        <w:rFonts w:ascii="Wingdings" w:hAnsi="Wingdings" w:hint="default"/>
      </w:rPr>
    </w:lvl>
  </w:abstractNum>
  <w:abstractNum w:abstractNumId="36" w15:restartNumberingAfterBreak="0">
    <w:nsid w:val="609E5348"/>
    <w:multiLevelType w:val="hybridMultilevel"/>
    <w:tmpl w:val="5FD25548"/>
    <w:lvl w:ilvl="0" w:tplc="212E4DB2">
      <w:numFmt w:val="bullet"/>
      <w:lvlText w:val="-"/>
      <w:lvlJc w:val="left"/>
      <w:pPr>
        <w:ind w:left="1193" w:hanging="360"/>
      </w:pPr>
      <w:rPr>
        <w:rFonts w:ascii="Calibri" w:eastAsia="Calibri" w:hAnsi="Calibri" w:cs="Calibri" w:hint="default"/>
        <w:w w:val="100"/>
        <w:sz w:val="22"/>
        <w:szCs w:val="22"/>
        <w:lang w:val="en-US" w:eastAsia="en-US" w:bidi="ar-SA"/>
      </w:rPr>
    </w:lvl>
    <w:lvl w:ilvl="1" w:tplc="10168B54">
      <w:numFmt w:val="bullet"/>
      <w:lvlText w:val="•"/>
      <w:lvlJc w:val="left"/>
      <w:pPr>
        <w:ind w:left="2138" w:hanging="360"/>
      </w:pPr>
      <w:rPr>
        <w:rFonts w:hint="default"/>
        <w:lang w:val="en-US" w:eastAsia="en-US" w:bidi="ar-SA"/>
      </w:rPr>
    </w:lvl>
    <w:lvl w:ilvl="2" w:tplc="BB962230">
      <w:numFmt w:val="bullet"/>
      <w:lvlText w:val="•"/>
      <w:lvlJc w:val="left"/>
      <w:pPr>
        <w:ind w:left="3077" w:hanging="360"/>
      </w:pPr>
      <w:rPr>
        <w:rFonts w:hint="default"/>
        <w:lang w:val="en-US" w:eastAsia="en-US" w:bidi="ar-SA"/>
      </w:rPr>
    </w:lvl>
    <w:lvl w:ilvl="3" w:tplc="EE6C6A70">
      <w:numFmt w:val="bullet"/>
      <w:lvlText w:val="•"/>
      <w:lvlJc w:val="left"/>
      <w:pPr>
        <w:ind w:left="4015" w:hanging="360"/>
      </w:pPr>
      <w:rPr>
        <w:rFonts w:hint="default"/>
        <w:lang w:val="en-US" w:eastAsia="en-US" w:bidi="ar-SA"/>
      </w:rPr>
    </w:lvl>
    <w:lvl w:ilvl="4" w:tplc="DAF8F440">
      <w:numFmt w:val="bullet"/>
      <w:lvlText w:val="•"/>
      <w:lvlJc w:val="left"/>
      <w:pPr>
        <w:ind w:left="4954" w:hanging="360"/>
      </w:pPr>
      <w:rPr>
        <w:rFonts w:hint="default"/>
        <w:lang w:val="en-US" w:eastAsia="en-US" w:bidi="ar-SA"/>
      </w:rPr>
    </w:lvl>
    <w:lvl w:ilvl="5" w:tplc="E3E4205A">
      <w:numFmt w:val="bullet"/>
      <w:lvlText w:val="•"/>
      <w:lvlJc w:val="left"/>
      <w:pPr>
        <w:ind w:left="5893" w:hanging="360"/>
      </w:pPr>
      <w:rPr>
        <w:rFonts w:hint="default"/>
        <w:lang w:val="en-US" w:eastAsia="en-US" w:bidi="ar-SA"/>
      </w:rPr>
    </w:lvl>
    <w:lvl w:ilvl="6" w:tplc="5F942800">
      <w:numFmt w:val="bullet"/>
      <w:lvlText w:val="•"/>
      <w:lvlJc w:val="left"/>
      <w:pPr>
        <w:ind w:left="6831" w:hanging="360"/>
      </w:pPr>
      <w:rPr>
        <w:rFonts w:hint="default"/>
        <w:lang w:val="en-US" w:eastAsia="en-US" w:bidi="ar-SA"/>
      </w:rPr>
    </w:lvl>
    <w:lvl w:ilvl="7" w:tplc="DE44512E">
      <w:numFmt w:val="bullet"/>
      <w:lvlText w:val="•"/>
      <w:lvlJc w:val="left"/>
      <w:pPr>
        <w:ind w:left="7770" w:hanging="360"/>
      </w:pPr>
      <w:rPr>
        <w:rFonts w:hint="default"/>
        <w:lang w:val="en-US" w:eastAsia="en-US" w:bidi="ar-SA"/>
      </w:rPr>
    </w:lvl>
    <w:lvl w:ilvl="8" w:tplc="CD0023BC">
      <w:numFmt w:val="bullet"/>
      <w:lvlText w:val="•"/>
      <w:lvlJc w:val="left"/>
      <w:pPr>
        <w:ind w:left="8709" w:hanging="360"/>
      </w:pPr>
      <w:rPr>
        <w:rFonts w:hint="default"/>
        <w:lang w:val="en-US" w:eastAsia="en-US" w:bidi="ar-SA"/>
      </w:rPr>
    </w:lvl>
  </w:abstractNum>
  <w:abstractNum w:abstractNumId="37" w15:restartNumberingAfterBreak="0">
    <w:nsid w:val="647E01E3"/>
    <w:multiLevelType w:val="hybridMultilevel"/>
    <w:tmpl w:val="0152071A"/>
    <w:lvl w:ilvl="0" w:tplc="B0B0E986">
      <w:numFmt w:val="bullet"/>
      <w:lvlText w:val="•"/>
      <w:lvlJc w:val="left"/>
      <w:pPr>
        <w:ind w:left="833" w:hanging="360"/>
      </w:pPr>
      <w:rPr>
        <w:rFonts w:ascii="Times New Roman" w:eastAsia="Times New Roman" w:hAnsi="Times New Roman" w:cs="Times New Roman" w:hint="default"/>
        <w:w w:val="100"/>
        <w:sz w:val="22"/>
        <w:szCs w:val="22"/>
        <w:lang w:val="en-US" w:eastAsia="en-US" w:bidi="ar-SA"/>
      </w:rPr>
    </w:lvl>
    <w:lvl w:ilvl="1" w:tplc="37620D82">
      <w:numFmt w:val="bullet"/>
      <w:lvlText w:val="•"/>
      <w:lvlJc w:val="left"/>
      <w:pPr>
        <w:ind w:left="1814" w:hanging="360"/>
      </w:pPr>
      <w:rPr>
        <w:rFonts w:hint="default"/>
        <w:lang w:val="en-US" w:eastAsia="en-US" w:bidi="ar-SA"/>
      </w:rPr>
    </w:lvl>
    <w:lvl w:ilvl="2" w:tplc="B5C4BC88">
      <w:numFmt w:val="bullet"/>
      <w:lvlText w:val="•"/>
      <w:lvlJc w:val="left"/>
      <w:pPr>
        <w:ind w:left="2789" w:hanging="360"/>
      </w:pPr>
      <w:rPr>
        <w:rFonts w:hint="default"/>
        <w:lang w:val="en-US" w:eastAsia="en-US" w:bidi="ar-SA"/>
      </w:rPr>
    </w:lvl>
    <w:lvl w:ilvl="3" w:tplc="68061C86">
      <w:numFmt w:val="bullet"/>
      <w:lvlText w:val="•"/>
      <w:lvlJc w:val="left"/>
      <w:pPr>
        <w:ind w:left="3763" w:hanging="360"/>
      </w:pPr>
      <w:rPr>
        <w:rFonts w:hint="default"/>
        <w:lang w:val="en-US" w:eastAsia="en-US" w:bidi="ar-SA"/>
      </w:rPr>
    </w:lvl>
    <w:lvl w:ilvl="4" w:tplc="94B4402A">
      <w:numFmt w:val="bullet"/>
      <w:lvlText w:val="•"/>
      <w:lvlJc w:val="left"/>
      <w:pPr>
        <w:ind w:left="4738" w:hanging="360"/>
      </w:pPr>
      <w:rPr>
        <w:rFonts w:hint="default"/>
        <w:lang w:val="en-US" w:eastAsia="en-US" w:bidi="ar-SA"/>
      </w:rPr>
    </w:lvl>
    <w:lvl w:ilvl="5" w:tplc="E3F4973C">
      <w:numFmt w:val="bullet"/>
      <w:lvlText w:val="•"/>
      <w:lvlJc w:val="left"/>
      <w:pPr>
        <w:ind w:left="5713" w:hanging="360"/>
      </w:pPr>
      <w:rPr>
        <w:rFonts w:hint="default"/>
        <w:lang w:val="en-US" w:eastAsia="en-US" w:bidi="ar-SA"/>
      </w:rPr>
    </w:lvl>
    <w:lvl w:ilvl="6" w:tplc="49C467FA">
      <w:numFmt w:val="bullet"/>
      <w:lvlText w:val="•"/>
      <w:lvlJc w:val="left"/>
      <w:pPr>
        <w:ind w:left="6687" w:hanging="360"/>
      </w:pPr>
      <w:rPr>
        <w:rFonts w:hint="default"/>
        <w:lang w:val="en-US" w:eastAsia="en-US" w:bidi="ar-SA"/>
      </w:rPr>
    </w:lvl>
    <w:lvl w:ilvl="7" w:tplc="63EE3248">
      <w:numFmt w:val="bullet"/>
      <w:lvlText w:val="•"/>
      <w:lvlJc w:val="left"/>
      <w:pPr>
        <w:ind w:left="7662" w:hanging="360"/>
      </w:pPr>
      <w:rPr>
        <w:rFonts w:hint="default"/>
        <w:lang w:val="en-US" w:eastAsia="en-US" w:bidi="ar-SA"/>
      </w:rPr>
    </w:lvl>
    <w:lvl w:ilvl="8" w:tplc="59547B78">
      <w:numFmt w:val="bullet"/>
      <w:lvlText w:val="•"/>
      <w:lvlJc w:val="left"/>
      <w:pPr>
        <w:ind w:left="8637" w:hanging="360"/>
      </w:pPr>
      <w:rPr>
        <w:rFonts w:hint="default"/>
        <w:lang w:val="en-US" w:eastAsia="en-US" w:bidi="ar-SA"/>
      </w:rPr>
    </w:lvl>
  </w:abstractNum>
  <w:abstractNum w:abstractNumId="38" w15:restartNumberingAfterBreak="0">
    <w:nsid w:val="65ED0081"/>
    <w:multiLevelType w:val="hybridMultilevel"/>
    <w:tmpl w:val="FB1AB632"/>
    <w:lvl w:ilvl="0" w:tplc="04100017">
      <w:start w:val="1"/>
      <w:numFmt w:val="lowerLetter"/>
      <w:lvlText w:val="%1)"/>
      <w:lvlJc w:val="left"/>
      <w:pPr>
        <w:ind w:left="1192" w:hanging="360"/>
      </w:pPr>
      <w:rPr>
        <w:rFonts w:hint="default"/>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39" w15:restartNumberingAfterBreak="0">
    <w:nsid w:val="674B6A64"/>
    <w:multiLevelType w:val="hybridMultilevel"/>
    <w:tmpl w:val="32C89AC8"/>
    <w:lvl w:ilvl="0" w:tplc="E3B88A62">
      <w:start w:val="1"/>
      <w:numFmt w:val="decimal"/>
      <w:lvlText w:val="%1."/>
      <w:lvlJc w:val="left"/>
      <w:pPr>
        <w:ind w:left="472" w:hanging="360"/>
      </w:pPr>
      <w:rPr>
        <w:rFonts w:hint="default"/>
      </w:rPr>
    </w:lvl>
    <w:lvl w:ilvl="1" w:tplc="08130019" w:tentative="1">
      <w:start w:val="1"/>
      <w:numFmt w:val="lowerLetter"/>
      <w:lvlText w:val="%2."/>
      <w:lvlJc w:val="left"/>
      <w:pPr>
        <w:ind w:left="1192" w:hanging="360"/>
      </w:pPr>
    </w:lvl>
    <w:lvl w:ilvl="2" w:tplc="0813001B" w:tentative="1">
      <w:start w:val="1"/>
      <w:numFmt w:val="lowerRoman"/>
      <w:lvlText w:val="%3."/>
      <w:lvlJc w:val="right"/>
      <w:pPr>
        <w:ind w:left="1912" w:hanging="180"/>
      </w:pPr>
    </w:lvl>
    <w:lvl w:ilvl="3" w:tplc="0813000F" w:tentative="1">
      <w:start w:val="1"/>
      <w:numFmt w:val="decimal"/>
      <w:lvlText w:val="%4."/>
      <w:lvlJc w:val="left"/>
      <w:pPr>
        <w:ind w:left="2632" w:hanging="360"/>
      </w:pPr>
    </w:lvl>
    <w:lvl w:ilvl="4" w:tplc="08130019" w:tentative="1">
      <w:start w:val="1"/>
      <w:numFmt w:val="lowerLetter"/>
      <w:lvlText w:val="%5."/>
      <w:lvlJc w:val="left"/>
      <w:pPr>
        <w:ind w:left="3352" w:hanging="360"/>
      </w:pPr>
    </w:lvl>
    <w:lvl w:ilvl="5" w:tplc="0813001B" w:tentative="1">
      <w:start w:val="1"/>
      <w:numFmt w:val="lowerRoman"/>
      <w:lvlText w:val="%6."/>
      <w:lvlJc w:val="right"/>
      <w:pPr>
        <w:ind w:left="4072" w:hanging="180"/>
      </w:pPr>
    </w:lvl>
    <w:lvl w:ilvl="6" w:tplc="0813000F" w:tentative="1">
      <w:start w:val="1"/>
      <w:numFmt w:val="decimal"/>
      <w:lvlText w:val="%7."/>
      <w:lvlJc w:val="left"/>
      <w:pPr>
        <w:ind w:left="4792" w:hanging="360"/>
      </w:pPr>
    </w:lvl>
    <w:lvl w:ilvl="7" w:tplc="08130019" w:tentative="1">
      <w:start w:val="1"/>
      <w:numFmt w:val="lowerLetter"/>
      <w:lvlText w:val="%8."/>
      <w:lvlJc w:val="left"/>
      <w:pPr>
        <w:ind w:left="5512" w:hanging="360"/>
      </w:pPr>
    </w:lvl>
    <w:lvl w:ilvl="8" w:tplc="0813001B" w:tentative="1">
      <w:start w:val="1"/>
      <w:numFmt w:val="lowerRoman"/>
      <w:lvlText w:val="%9."/>
      <w:lvlJc w:val="right"/>
      <w:pPr>
        <w:ind w:left="6232" w:hanging="180"/>
      </w:pPr>
    </w:lvl>
  </w:abstractNum>
  <w:abstractNum w:abstractNumId="40" w15:restartNumberingAfterBreak="0">
    <w:nsid w:val="68E26E01"/>
    <w:multiLevelType w:val="hybridMultilevel"/>
    <w:tmpl w:val="0DD64B9C"/>
    <w:lvl w:ilvl="0" w:tplc="04100017">
      <w:start w:val="1"/>
      <w:numFmt w:val="lowerLetter"/>
      <w:lvlText w:val="%1)"/>
      <w:lvlJc w:val="left"/>
      <w:pPr>
        <w:ind w:left="1910" w:hanging="360"/>
      </w:pPr>
    </w:lvl>
    <w:lvl w:ilvl="1" w:tplc="04100019" w:tentative="1">
      <w:start w:val="1"/>
      <w:numFmt w:val="lowerLetter"/>
      <w:lvlText w:val="%2."/>
      <w:lvlJc w:val="left"/>
      <w:pPr>
        <w:ind w:left="2630" w:hanging="360"/>
      </w:pPr>
    </w:lvl>
    <w:lvl w:ilvl="2" w:tplc="0410001B" w:tentative="1">
      <w:start w:val="1"/>
      <w:numFmt w:val="lowerRoman"/>
      <w:lvlText w:val="%3."/>
      <w:lvlJc w:val="right"/>
      <w:pPr>
        <w:ind w:left="3350" w:hanging="180"/>
      </w:pPr>
    </w:lvl>
    <w:lvl w:ilvl="3" w:tplc="0410000F" w:tentative="1">
      <w:start w:val="1"/>
      <w:numFmt w:val="decimal"/>
      <w:lvlText w:val="%4."/>
      <w:lvlJc w:val="left"/>
      <w:pPr>
        <w:ind w:left="4070" w:hanging="360"/>
      </w:pPr>
    </w:lvl>
    <w:lvl w:ilvl="4" w:tplc="04100019" w:tentative="1">
      <w:start w:val="1"/>
      <w:numFmt w:val="lowerLetter"/>
      <w:lvlText w:val="%5."/>
      <w:lvlJc w:val="left"/>
      <w:pPr>
        <w:ind w:left="4790" w:hanging="360"/>
      </w:pPr>
    </w:lvl>
    <w:lvl w:ilvl="5" w:tplc="0410001B" w:tentative="1">
      <w:start w:val="1"/>
      <w:numFmt w:val="lowerRoman"/>
      <w:lvlText w:val="%6."/>
      <w:lvlJc w:val="right"/>
      <w:pPr>
        <w:ind w:left="5510" w:hanging="180"/>
      </w:pPr>
    </w:lvl>
    <w:lvl w:ilvl="6" w:tplc="0410000F" w:tentative="1">
      <w:start w:val="1"/>
      <w:numFmt w:val="decimal"/>
      <w:lvlText w:val="%7."/>
      <w:lvlJc w:val="left"/>
      <w:pPr>
        <w:ind w:left="6230" w:hanging="360"/>
      </w:pPr>
    </w:lvl>
    <w:lvl w:ilvl="7" w:tplc="04100019" w:tentative="1">
      <w:start w:val="1"/>
      <w:numFmt w:val="lowerLetter"/>
      <w:lvlText w:val="%8."/>
      <w:lvlJc w:val="left"/>
      <w:pPr>
        <w:ind w:left="6950" w:hanging="360"/>
      </w:pPr>
    </w:lvl>
    <w:lvl w:ilvl="8" w:tplc="0410001B" w:tentative="1">
      <w:start w:val="1"/>
      <w:numFmt w:val="lowerRoman"/>
      <w:lvlText w:val="%9."/>
      <w:lvlJc w:val="right"/>
      <w:pPr>
        <w:ind w:left="7670" w:hanging="180"/>
      </w:pPr>
    </w:lvl>
  </w:abstractNum>
  <w:abstractNum w:abstractNumId="41" w15:restartNumberingAfterBreak="0">
    <w:nsid w:val="69DB4A9C"/>
    <w:multiLevelType w:val="hybridMultilevel"/>
    <w:tmpl w:val="12FCCA38"/>
    <w:lvl w:ilvl="0" w:tplc="04100017">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42" w15:restartNumberingAfterBreak="0">
    <w:nsid w:val="6CC924DA"/>
    <w:multiLevelType w:val="hybridMultilevel"/>
    <w:tmpl w:val="03D429C8"/>
    <w:lvl w:ilvl="0" w:tplc="04100017">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43" w15:restartNumberingAfterBreak="0">
    <w:nsid w:val="70525424"/>
    <w:multiLevelType w:val="hybridMultilevel"/>
    <w:tmpl w:val="81AE7D64"/>
    <w:lvl w:ilvl="0" w:tplc="04100017">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44" w15:restartNumberingAfterBreak="0">
    <w:nsid w:val="70FB1E26"/>
    <w:multiLevelType w:val="hybridMultilevel"/>
    <w:tmpl w:val="B02AB492"/>
    <w:lvl w:ilvl="0" w:tplc="E3E42FAC">
      <w:start w:val="1"/>
      <w:numFmt w:val="upperRoman"/>
      <w:lvlText w:val="%1."/>
      <w:lvlJc w:val="left"/>
      <w:pPr>
        <w:ind w:left="473" w:hanging="360"/>
      </w:pPr>
      <w:rPr>
        <w:rFonts w:ascii="Cambria" w:eastAsia="Cambria" w:hAnsi="Cambria" w:cs="Cambria" w:hint="default"/>
        <w:b/>
        <w:bCs/>
        <w:spacing w:val="-1"/>
        <w:w w:val="100"/>
        <w:sz w:val="22"/>
        <w:szCs w:val="22"/>
        <w:lang w:val="en-US" w:eastAsia="en-US" w:bidi="ar-SA"/>
      </w:rPr>
    </w:lvl>
    <w:lvl w:ilvl="1" w:tplc="224AED12">
      <w:numFmt w:val="bullet"/>
      <w:lvlText w:val=""/>
      <w:lvlJc w:val="left"/>
      <w:pPr>
        <w:ind w:left="833" w:hanging="360"/>
      </w:pPr>
      <w:rPr>
        <w:rFonts w:ascii="Symbol" w:eastAsia="Symbol" w:hAnsi="Symbol" w:cs="Symbol" w:hint="default"/>
        <w:w w:val="100"/>
        <w:sz w:val="22"/>
        <w:szCs w:val="22"/>
        <w:lang w:val="en-US" w:eastAsia="en-US" w:bidi="ar-SA"/>
      </w:rPr>
    </w:lvl>
    <w:lvl w:ilvl="2" w:tplc="74F8E346">
      <w:numFmt w:val="bullet"/>
      <w:lvlText w:val="•"/>
      <w:lvlJc w:val="left"/>
      <w:pPr>
        <w:ind w:left="1922" w:hanging="360"/>
      </w:pPr>
      <w:rPr>
        <w:rFonts w:hint="default"/>
        <w:lang w:val="en-US" w:eastAsia="en-US" w:bidi="ar-SA"/>
      </w:rPr>
    </w:lvl>
    <w:lvl w:ilvl="3" w:tplc="A3D82D10">
      <w:numFmt w:val="bullet"/>
      <w:lvlText w:val="•"/>
      <w:lvlJc w:val="left"/>
      <w:pPr>
        <w:ind w:left="3005" w:hanging="360"/>
      </w:pPr>
      <w:rPr>
        <w:rFonts w:hint="default"/>
        <w:lang w:val="en-US" w:eastAsia="en-US" w:bidi="ar-SA"/>
      </w:rPr>
    </w:lvl>
    <w:lvl w:ilvl="4" w:tplc="1E4CA504">
      <w:numFmt w:val="bullet"/>
      <w:lvlText w:val="•"/>
      <w:lvlJc w:val="left"/>
      <w:pPr>
        <w:ind w:left="4088" w:hanging="360"/>
      </w:pPr>
      <w:rPr>
        <w:rFonts w:hint="default"/>
        <w:lang w:val="en-US" w:eastAsia="en-US" w:bidi="ar-SA"/>
      </w:rPr>
    </w:lvl>
    <w:lvl w:ilvl="5" w:tplc="24649252">
      <w:numFmt w:val="bullet"/>
      <w:lvlText w:val="•"/>
      <w:lvlJc w:val="left"/>
      <w:pPr>
        <w:ind w:left="5171" w:hanging="360"/>
      </w:pPr>
      <w:rPr>
        <w:rFonts w:hint="default"/>
        <w:lang w:val="en-US" w:eastAsia="en-US" w:bidi="ar-SA"/>
      </w:rPr>
    </w:lvl>
    <w:lvl w:ilvl="6" w:tplc="EC947248">
      <w:numFmt w:val="bullet"/>
      <w:lvlText w:val="•"/>
      <w:lvlJc w:val="left"/>
      <w:pPr>
        <w:ind w:left="6254" w:hanging="360"/>
      </w:pPr>
      <w:rPr>
        <w:rFonts w:hint="default"/>
        <w:lang w:val="en-US" w:eastAsia="en-US" w:bidi="ar-SA"/>
      </w:rPr>
    </w:lvl>
    <w:lvl w:ilvl="7" w:tplc="99221F9A">
      <w:numFmt w:val="bullet"/>
      <w:lvlText w:val="•"/>
      <w:lvlJc w:val="left"/>
      <w:pPr>
        <w:ind w:left="7337" w:hanging="360"/>
      </w:pPr>
      <w:rPr>
        <w:rFonts w:hint="default"/>
        <w:lang w:val="en-US" w:eastAsia="en-US" w:bidi="ar-SA"/>
      </w:rPr>
    </w:lvl>
    <w:lvl w:ilvl="8" w:tplc="B64E5A7E">
      <w:numFmt w:val="bullet"/>
      <w:lvlText w:val="•"/>
      <w:lvlJc w:val="left"/>
      <w:pPr>
        <w:ind w:left="8420" w:hanging="360"/>
      </w:pPr>
      <w:rPr>
        <w:rFonts w:hint="default"/>
        <w:lang w:val="en-US" w:eastAsia="en-US" w:bidi="ar-SA"/>
      </w:rPr>
    </w:lvl>
  </w:abstractNum>
  <w:abstractNum w:abstractNumId="45" w15:restartNumberingAfterBreak="0">
    <w:nsid w:val="74315C98"/>
    <w:multiLevelType w:val="hybridMultilevel"/>
    <w:tmpl w:val="DB7CAAFA"/>
    <w:lvl w:ilvl="0" w:tplc="3F72521A">
      <w:start w:val="1"/>
      <w:numFmt w:val="decimal"/>
      <w:lvlText w:val="%1"/>
      <w:lvlJc w:val="left"/>
      <w:pPr>
        <w:ind w:left="113" w:hanging="166"/>
      </w:pPr>
      <w:rPr>
        <w:rFonts w:hint="default"/>
        <w:w w:val="99"/>
        <w:position w:val="6"/>
        <w:lang w:val="en-US" w:eastAsia="en-US" w:bidi="ar-SA"/>
      </w:rPr>
    </w:lvl>
    <w:lvl w:ilvl="1" w:tplc="072A2522">
      <w:numFmt w:val="bullet"/>
      <w:lvlText w:val=""/>
      <w:lvlJc w:val="left"/>
      <w:pPr>
        <w:ind w:left="833" w:hanging="360"/>
      </w:pPr>
      <w:rPr>
        <w:rFonts w:ascii="Symbol" w:eastAsia="Symbol" w:hAnsi="Symbol" w:cs="Symbol" w:hint="default"/>
        <w:w w:val="100"/>
        <w:sz w:val="22"/>
        <w:szCs w:val="22"/>
        <w:lang w:val="en-US" w:eastAsia="en-US" w:bidi="ar-SA"/>
      </w:rPr>
    </w:lvl>
    <w:lvl w:ilvl="2" w:tplc="ED4C2B90">
      <w:numFmt w:val="bullet"/>
      <w:lvlText w:val=""/>
      <w:lvlJc w:val="left"/>
      <w:pPr>
        <w:ind w:left="1553" w:hanging="360"/>
      </w:pPr>
      <w:rPr>
        <w:rFonts w:ascii="Symbol" w:eastAsia="Symbol" w:hAnsi="Symbol" w:cs="Symbol" w:hint="default"/>
        <w:w w:val="100"/>
        <w:sz w:val="22"/>
        <w:szCs w:val="22"/>
        <w:lang w:val="en-US" w:eastAsia="en-US" w:bidi="ar-SA"/>
      </w:rPr>
    </w:lvl>
    <w:lvl w:ilvl="3" w:tplc="B668503E">
      <w:numFmt w:val="bullet"/>
      <w:lvlText w:val="•"/>
      <w:lvlJc w:val="left"/>
      <w:pPr>
        <w:ind w:left="2688" w:hanging="360"/>
      </w:pPr>
      <w:rPr>
        <w:rFonts w:hint="default"/>
        <w:lang w:val="en-US" w:eastAsia="en-US" w:bidi="ar-SA"/>
      </w:rPr>
    </w:lvl>
    <w:lvl w:ilvl="4" w:tplc="C0AC1610">
      <w:numFmt w:val="bullet"/>
      <w:lvlText w:val="•"/>
      <w:lvlJc w:val="left"/>
      <w:pPr>
        <w:ind w:left="3816" w:hanging="360"/>
      </w:pPr>
      <w:rPr>
        <w:rFonts w:hint="default"/>
        <w:lang w:val="en-US" w:eastAsia="en-US" w:bidi="ar-SA"/>
      </w:rPr>
    </w:lvl>
    <w:lvl w:ilvl="5" w:tplc="BEA43644">
      <w:numFmt w:val="bullet"/>
      <w:lvlText w:val="•"/>
      <w:lvlJc w:val="left"/>
      <w:pPr>
        <w:ind w:left="4944" w:hanging="360"/>
      </w:pPr>
      <w:rPr>
        <w:rFonts w:hint="default"/>
        <w:lang w:val="en-US" w:eastAsia="en-US" w:bidi="ar-SA"/>
      </w:rPr>
    </w:lvl>
    <w:lvl w:ilvl="6" w:tplc="49EEBCE2">
      <w:numFmt w:val="bullet"/>
      <w:lvlText w:val="•"/>
      <w:lvlJc w:val="left"/>
      <w:pPr>
        <w:ind w:left="6073" w:hanging="360"/>
      </w:pPr>
      <w:rPr>
        <w:rFonts w:hint="default"/>
        <w:lang w:val="en-US" w:eastAsia="en-US" w:bidi="ar-SA"/>
      </w:rPr>
    </w:lvl>
    <w:lvl w:ilvl="7" w:tplc="C3504832">
      <w:numFmt w:val="bullet"/>
      <w:lvlText w:val="•"/>
      <w:lvlJc w:val="left"/>
      <w:pPr>
        <w:ind w:left="7201" w:hanging="360"/>
      </w:pPr>
      <w:rPr>
        <w:rFonts w:hint="default"/>
        <w:lang w:val="en-US" w:eastAsia="en-US" w:bidi="ar-SA"/>
      </w:rPr>
    </w:lvl>
    <w:lvl w:ilvl="8" w:tplc="3B743C76">
      <w:numFmt w:val="bullet"/>
      <w:lvlText w:val="•"/>
      <w:lvlJc w:val="left"/>
      <w:pPr>
        <w:ind w:left="8329" w:hanging="360"/>
      </w:pPr>
      <w:rPr>
        <w:rFonts w:hint="default"/>
        <w:lang w:val="en-US" w:eastAsia="en-US" w:bidi="ar-SA"/>
      </w:rPr>
    </w:lvl>
  </w:abstractNum>
  <w:abstractNum w:abstractNumId="46" w15:restartNumberingAfterBreak="0">
    <w:nsid w:val="7A1A09BF"/>
    <w:multiLevelType w:val="hybridMultilevel"/>
    <w:tmpl w:val="7BEC8C12"/>
    <w:lvl w:ilvl="0" w:tplc="8FC600B4">
      <w:numFmt w:val="bullet"/>
      <w:lvlText w:val=""/>
      <w:lvlJc w:val="left"/>
      <w:pPr>
        <w:ind w:left="720" w:hanging="360"/>
      </w:pPr>
      <w:rPr>
        <w:rFonts w:ascii="Wingdings" w:eastAsia="Cambria" w:hAnsi="Wingdings" w:cs="Cambri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7" w15:restartNumberingAfterBreak="0">
    <w:nsid w:val="7B070B73"/>
    <w:multiLevelType w:val="hybridMultilevel"/>
    <w:tmpl w:val="D30612AC"/>
    <w:lvl w:ilvl="0" w:tplc="224AED12">
      <w:numFmt w:val="bullet"/>
      <w:lvlText w:val=""/>
      <w:lvlJc w:val="left"/>
      <w:pPr>
        <w:ind w:left="1080" w:hanging="360"/>
      </w:pPr>
      <w:rPr>
        <w:rFonts w:ascii="Symbol" w:eastAsia="Symbol" w:hAnsi="Symbol" w:cs="Symbol" w:hint="default"/>
        <w:w w:val="100"/>
        <w:sz w:val="22"/>
        <w:szCs w:val="22"/>
        <w:lang w:val="en-US" w:eastAsia="en-US" w:bidi="ar-SA"/>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8" w15:restartNumberingAfterBreak="0">
    <w:nsid w:val="7F9F3FCC"/>
    <w:multiLevelType w:val="multilevel"/>
    <w:tmpl w:val="D8CEED02"/>
    <w:lvl w:ilvl="0">
      <w:start w:val="1"/>
      <w:numFmt w:val="upperRoman"/>
      <w:lvlText w:val="%1."/>
      <w:lvlJc w:val="left"/>
      <w:pPr>
        <w:ind w:left="341" w:hanging="228"/>
      </w:pPr>
      <w:rPr>
        <w:rFonts w:ascii="Cambria" w:eastAsia="Cambria" w:hAnsi="Cambria" w:cs="Cambria" w:hint="default"/>
        <w:b/>
        <w:bCs/>
        <w:spacing w:val="-1"/>
        <w:w w:val="99"/>
        <w:sz w:val="20"/>
        <w:szCs w:val="20"/>
        <w:lang w:val="en-US" w:eastAsia="en-US" w:bidi="ar-SA"/>
      </w:rPr>
    </w:lvl>
    <w:lvl w:ilvl="1">
      <w:start w:val="1"/>
      <w:numFmt w:val="decimal"/>
      <w:lvlText w:val="%1.%2."/>
      <w:lvlJc w:val="left"/>
      <w:pPr>
        <w:ind w:left="569" w:hanging="456"/>
      </w:pPr>
      <w:rPr>
        <w:rFonts w:ascii="Cambria" w:eastAsia="Cambria" w:hAnsi="Cambria" w:cs="Cambria" w:hint="default"/>
        <w:b/>
        <w:bCs/>
        <w:spacing w:val="-1"/>
        <w:w w:val="99"/>
        <w:sz w:val="20"/>
        <w:szCs w:val="20"/>
        <w:lang w:val="en-US" w:eastAsia="en-US" w:bidi="ar-SA"/>
      </w:rPr>
    </w:lvl>
    <w:lvl w:ilvl="2">
      <w:numFmt w:val="bullet"/>
      <w:lvlText w:val="•"/>
      <w:lvlJc w:val="left"/>
      <w:pPr>
        <w:ind w:left="1674" w:hanging="456"/>
      </w:pPr>
      <w:rPr>
        <w:rFonts w:hint="default"/>
        <w:lang w:val="en-US" w:eastAsia="en-US" w:bidi="ar-SA"/>
      </w:rPr>
    </w:lvl>
    <w:lvl w:ilvl="3">
      <w:numFmt w:val="bullet"/>
      <w:lvlText w:val="•"/>
      <w:lvlJc w:val="left"/>
      <w:pPr>
        <w:ind w:left="2788" w:hanging="456"/>
      </w:pPr>
      <w:rPr>
        <w:rFonts w:hint="default"/>
        <w:lang w:val="en-US" w:eastAsia="en-US" w:bidi="ar-SA"/>
      </w:rPr>
    </w:lvl>
    <w:lvl w:ilvl="4">
      <w:numFmt w:val="bullet"/>
      <w:lvlText w:val="•"/>
      <w:lvlJc w:val="left"/>
      <w:pPr>
        <w:ind w:left="3902" w:hanging="456"/>
      </w:pPr>
      <w:rPr>
        <w:rFonts w:hint="default"/>
        <w:lang w:val="en-US" w:eastAsia="en-US" w:bidi="ar-SA"/>
      </w:rPr>
    </w:lvl>
    <w:lvl w:ilvl="5">
      <w:numFmt w:val="bullet"/>
      <w:lvlText w:val="•"/>
      <w:lvlJc w:val="left"/>
      <w:pPr>
        <w:ind w:left="5016" w:hanging="456"/>
      </w:pPr>
      <w:rPr>
        <w:rFonts w:hint="default"/>
        <w:lang w:val="en-US" w:eastAsia="en-US" w:bidi="ar-SA"/>
      </w:rPr>
    </w:lvl>
    <w:lvl w:ilvl="6">
      <w:numFmt w:val="bullet"/>
      <w:lvlText w:val="•"/>
      <w:lvlJc w:val="left"/>
      <w:pPr>
        <w:ind w:left="6130" w:hanging="456"/>
      </w:pPr>
      <w:rPr>
        <w:rFonts w:hint="default"/>
        <w:lang w:val="en-US" w:eastAsia="en-US" w:bidi="ar-SA"/>
      </w:rPr>
    </w:lvl>
    <w:lvl w:ilvl="7">
      <w:numFmt w:val="bullet"/>
      <w:lvlText w:val="•"/>
      <w:lvlJc w:val="left"/>
      <w:pPr>
        <w:ind w:left="7244" w:hanging="456"/>
      </w:pPr>
      <w:rPr>
        <w:rFonts w:hint="default"/>
        <w:lang w:val="en-US" w:eastAsia="en-US" w:bidi="ar-SA"/>
      </w:rPr>
    </w:lvl>
    <w:lvl w:ilvl="8">
      <w:numFmt w:val="bullet"/>
      <w:lvlText w:val="•"/>
      <w:lvlJc w:val="left"/>
      <w:pPr>
        <w:ind w:left="8358" w:hanging="456"/>
      </w:pPr>
      <w:rPr>
        <w:rFonts w:hint="default"/>
        <w:lang w:val="en-US" w:eastAsia="en-US" w:bidi="ar-SA"/>
      </w:rPr>
    </w:lvl>
  </w:abstractNum>
  <w:num w:numId="1">
    <w:abstractNumId w:val="30"/>
  </w:num>
  <w:num w:numId="2">
    <w:abstractNumId w:val="9"/>
  </w:num>
  <w:num w:numId="3">
    <w:abstractNumId w:val="32"/>
  </w:num>
  <w:num w:numId="4">
    <w:abstractNumId w:val="31"/>
  </w:num>
  <w:num w:numId="5">
    <w:abstractNumId w:val="7"/>
  </w:num>
  <w:num w:numId="6">
    <w:abstractNumId w:val="37"/>
  </w:num>
  <w:num w:numId="7">
    <w:abstractNumId w:val="22"/>
  </w:num>
  <w:num w:numId="8">
    <w:abstractNumId w:val="36"/>
  </w:num>
  <w:num w:numId="9">
    <w:abstractNumId w:val="25"/>
  </w:num>
  <w:num w:numId="10">
    <w:abstractNumId w:val="20"/>
  </w:num>
  <w:num w:numId="11">
    <w:abstractNumId w:val="13"/>
  </w:num>
  <w:num w:numId="12">
    <w:abstractNumId w:val="45"/>
  </w:num>
  <w:num w:numId="13">
    <w:abstractNumId w:val="44"/>
  </w:num>
  <w:num w:numId="14">
    <w:abstractNumId w:val="48"/>
  </w:num>
  <w:num w:numId="15">
    <w:abstractNumId w:val="44"/>
    <w:lvlOverride w:ilvl="0">
      <w:startOverride w:val="1"/>
    </w:lvlOverride>
    <w:lvlOverride w:ilvl="1"/>
    <w:lvlOverride w:ilvl="2"/>
    <w:lvlOverride w:ilvl="3"/>
    <w:lvlOverride w:ilvl="4"/>
    <w:lvlOverride w:ilvl="5"/>
    <w:lvlOverride w:ilvl="6"/>
    <w:lvlOverride w:ilvl="7"/>
    <w:lvlOverride w:ilvl="8"/>
  </w:num>
  <w:num w:numId="16">
    <w:abstractNumId w:val="5"/>
  </w:num>
  <w:num w:numId="17">
    <w:abstractNumId w:val="45"/>
  </w:num>
  <w:num w:numId="18">
    <w:abstractNumId w:val="31"/>
  </w:num>
  <w:num w:numId="19">
    <w:abstractNumId w:val="13"/>
    <w:lvlOverride w:ilvl="0">
      <w:startOverride w:val="4"/>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0">
    <w:abstractNumId w:val="39"/>
  </w:num>
  <w:num w:numId="21">
    <w:abstractNumId w:val="14"/>
  </w:num>
  <w:num w:numId="22">
    <w:abstractNumId w:val="2"/>
  </w:num>
  <w:num w:numId="23">
    <w:abstractNumId w:val="0"/>
  </w:num>
  <w:num w:numId="24">
    <w:abstractNumId w:val="38"/>
  </w:num>
  <w:num w:numId="25">
    <w:abstractNumId w:val="33"/>
  </w:num>
  <w:num w:numId="26">
    <w:abstractNumId w:val="19"/>
  </w:num>
  <w:num w:numId="27">
    <w:abstractNumId w:val="28"/>
  </w:num>
  <w:num w:numId="28">
    <w:abstractNumId w:val="40"/>
  </w:num>
  <w:num w:numId="29">
    <w:abstractNumId w:val="24"/>
  </w:num>
  <w:num w:numId="30">
    <w:abstractNumId w:val="46"/>
  </w:num>
  <w:num w:numId="31">
    <w:abstractNumId w:val="26"/>
  </w:num>
  <w:num w:numId="32">
    <w:abstractNumId w:val="11"/>
  </w:num>
  <w:num w:numId="33">
    <w:abstractNumId w:val="3"/>
  </w:num>
  <w:num w:numId="34">
    <w:abstractNumId w:val="15"/>
  </w:num>
  <w:num w:numId="35">
    <w:abstractNumId w:val="16"/>
  </w:num>
  <w:num w:numId="36">
    <w:abstractNumId w:val="43"/>
  </w:num>
  <w:num w:numId="37">
    <w:abstractNumId w:val="41"/>
  </w:num>
  <w:num w:numId="38">
    <w:abstractNumId w:val="8"/>
  </w:num>
  <w:num w:numId="39">
    <w:abstractNumId w:val="35"/>
  </w:num>
  <w:num w:numId="40">
    <w:abstractNumId w:val="10"/>
  </w:num>
  <w:num w:numId="41">
    <w:abstractNumId w:val="1"/>
  </w:num>
  <w:num w:numId="42">
    <w:abstractNumId w:val="6"/>
  </w:num>
  <w:num w:numId="43">
    <w:abstractNumId w:val="23"/>
  </w:num>
  <w:num w:numId="44">
    <w:abstractNumId w:val="27"/>
  </w:num>
  <w:num w:numId="45">
    <w:abstractNumId w:val="12"/>
  </w:num>
  <w:num w:numId="46">
    <w:abstractNumId w:val="47"/>
  </w:num>
  <w:num w:numId="47">
    <w:abstractNumId w:val="29"/>
  </w:num>
  <w:num w:numId="48">
    <w:abstractNumId w:val="42"/>
  </w:num>
  <w:num w:numId="49">
    <w:abstractNumId w:val="4"/>
  </w:num>
  <w:num w:numId="50">
    <w:abstractNumId w:val="21"/>
  </w:num>
  <w:num w:numId="51">
    <w:abstractNumId w:val="18"/>
  </w:num>
  <w:num w:numId="52">
    <w:abstractNumId w:val="17"/>
  </w:num>
  <w:num w:numId="53">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hideSpellingErrors/>
  <w:hideGrammatical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EAD"/>
    <w:rsid w:val="00000EAF"/>
    <w:rsid w:val="00001E61"/>
    <w:rsid w:val="00003FD5"/>
    <w:rsid w:val="00012893"/>
    <w:rsid w:val="00012C79"/>
    <w:rsid w:val="00025B12"/>
    <w:rsid w:val="00026594"/>
    <w:rsid w:val="000265F2"/>
    <w:rsid w:val="00030974"/>
    <w:rsid w:val="00032628"/>
    <w:rsid w:val="00052C6D"/>
    <w:rsid w:val="00057C20"/>
    <w:rsid w:val="00060758"/>
    <w:rsid w:val="000631AF"/>
    <w:rsid w:val="00066E21"/>
    <w:rsid w:val="00072FA6"/>
    <w:rsid w:val="00073E7D"/>
    <w:rsid w:val="000829BF"/>
    <w:rsid w:val="00084597"/>
    <w:rsid w:val="00084E2E"/>
    <w:rsid w:val="00086B8E"/>
    <w:rsid w:val="000925B1"/>
    <w:rsid w:val="00096488"/>
    <w:rsid w:val="0009713B"/>
    <w:rsid w:val="00097499"/>
    <w:rsid w:val="000A58B2"/>
    <w:rsid w:val="000A5BE5"/>
    <w:rsid w:val="000B26C1"/>
    <w:rsid w:val="000B31FF"/>
    <w:rsid w:val="000B5F46"/>
    <w:rsid w:val="000C0BE4"/>
    <w:rsid w:val="000C3743"/>
    <w:rsid w:val="000D3C3F"/>
    <w:rsid w:val="000E05C6"/>
    <w:rsid w:val="000E6CC0"/>
    <w:rsid w:val="000E752E"/>
    <w:rsid w:val="000F0B85"/>
    <w:rsid w:val="00103195"/>
    <w:rsid w:val="00104902"/>
    <w:rsid w:val="00114C7B"/>
    <w:rsid w:val="00114FF6"/>
    <w:rsid w:val="001161E9"/>
    <w:rsid w:val="00116D8E"/>
    <w:rsid w:val="00120D51"/>
    <w:rsid w:val="001216BD"/>
    <w:rsid w:val="00123333"/>
    <w:rsid w:val="00127C1B"/>
    <w:rsid w:val="0013206A"/>
    <w:rsid w:val="001410D1"/>
    <w:rsid w:val="00155AFF"/>
    <w:rsid w:val="0015782E"/>
    <w:rsid w:val="001654CB"/>
    <w:rsid w:val="00171E43"/>
    <w:rsid w:val="001779CD"/>
    <w:rsid w:val="00181A26"/>
    <w:rsid w:val="0018501C"/>
    <w:rsid w:val="00187032"/>
    <w:rsid w:val="001873A4"/>
    <w:rsid w:val="00192D79"/>
    <w:rsid w:val="00195668"/>
    <w:rsid w:val="00196009"/>
    <w:rsid w:val="00196AB7"/>
    <w:rsid w:val="001B5039"/>
    <w:rsid w:val="001C5334"/>
    <w:rsid w:val="001C53A6"/>
    <w:rsid w:val="001D3EF8"/>
    <w:rsid w:val="001D7FD1"/>
    <w:rsid w:val="001E1101"/>
    <w:rsid w:val="001E6C4A"/>
    <w:rsid w:val="001F0275"/>
    <w:rsid w:val="001F4A0D"/>
    <w:rsid w:val="00203899"/>
    <w:rsid w:val="00215978"/>
    <w:rsid w:val="00217DCC"/>
    <w:rsid w:val="00224E2B"/>
    <w:rsid w:val="00234399"/>
    <w:rsid w:val="00240144"/>
    <w:rsid w:val="002432B4"/>
    <w:rsid w:val="002442F5"/>
    <w:rsid w:val="00264426"/>
    <w:rsid w:val="00267449"/>
    <w:rsid w:val="00282967"/>
    <w:rsid w:val="00284A05"/>
    <w:rsid w:val="0028794B"/>
    <w:rsid w:val="00293758"/>
    <w:rsid w:val="0029484D"/>
    <w:rsid w:val="002A785C"/>
    <w:rsid w:val="002B241F"/>
    <w:rsid w:val="002B79B1"/>
    <w:rsid w:val="002D108C"/>
    <w:rsid w:val="002E37E9"/>
    <w:rsid w:val="002E61F4"/>
    <w:rsid w:val="002F129A"/>
    <w:rsid w:val="002F63E5"/>
    <w:rsid w:val="00300214"/>
    <w:rsid w:val="003021B8"/>
    <w:rsid w:val="00305544"/>
    <w:rsid w:val="00306B8A"/>
    <w:rsid w:val="003108EB"/>
    <w:rsid w:val="0031683A"/>
    <w:rsid w:val="00322752"/>
    <w:rsid w:val="00332FFE"/>
    <w:rsid w:val="00333DE8"/>
    <w:rsid w:val="0033639C"/>
    <w:rsid w:val="00342B49"/>
    <w:rsid w:val="003432CF"/>
    <w:rsid w:val="00345CE2"/>
    <w:rsid w:val="00346FDA"/>
    <w:rsid w:val="0035170F"/>
    <w:rsid w:val="00352099"/>
    <w:rsid w:val="00360C00"/>
    <w:rsid w:val="003615BB"/>
    <w:rsid w:val="00363329"/>
    <w:rsid w:val="00372388"/>
    <w:rsid w:val="00373F2A"/>
    <w:rsid w:val="00377FF9"/>
    <w:rsid w:val="00383D89"/>
    <w:rsid w:val="00387D75"/>
    <w:rsid w:val="00392205"/>
    <w:rsid w:val="0039227A"/>
    <w:rsid w:val="003A6478"/>
    <w:rsid w:val="003A7170"/>
    <w:rsid w:val="003B491B"/>
    <w:rsid w:val="003C5F73"/>
    <w:rsid w:val="003D414F"/>
    <w:rsid w:val="003D5419"/>
    <w:rsid w:val="003E6F9C"/>
    <w:rsid w:val="003F0A90"/>
    <w:rsid w:val="003F4E39"/>
    <w:rsid w:val="00403C6B"/>
    <w:rsid w:val="00404DCA"/>
    <w:rsid w:val="00406C1C"/>
    <w:rsid w:val="0041259F"/>
    <w:rsid w:val="004162B8"/>
    <w:rsid w:val="0042253E"/>
    <w:rsid w:val="004305F3"/>
    <w:rsid w:val="00432E3A"/>
    <w:rsid w:val="00435B5A"/>
    <w:rsid w:val="00461A5D"/>
    <w:rsid w:val="00464304"/>
    <w:rsid w:val="004704BB"/>
    <w:rsid w:val="00480B1A"/>
    <w:rsid w:val="0048625C"/>
    <w:rsid w:val="00486A51"/>
    <w:rsid w:val="004A084A"/>
    <w:rsid w:val="004A2E87"/>
    <w:rsid w:val="004B386F"/>
    <w:rsid w:val="004B4936"/>
    <w:rsid w:val="004B501A"/>
    <w:rsid w:val="004B5F81"/>
    <w:rsid w:val="004C05FA"/>
    <w:rsid w:val="004C0EBC"/>
    <w:rsid w:val="004C129A"/>
    <w:rsid w:val="004C1FE5"/>
    <w:rsid w:val="004D051B"/>
    <w:rsid w:val="004D19A9"/>
    <w:rsid w:val="004D6921"/>
    <w:rsid w:val="004E3B0C"/>
    <w:rsid w:val="004E3CE4"/>
    <w:rsid w:val="004E652E"/>
    <w:rsid w:val="004E75A6"/>
    <w:rsid w:val="004F3FCE"/>
    <w:rsid w:val="004F70F1"/>
    <w:rsid w:val="0050021B"/>
    <w:rsid w:val="00503458"/>
    <w:rsid w:val="00504BFB"/>
    <w:rsid w:val="00507B8B"/>
    <w:rsid w:val="00512C9D"/>
    <w:rsid w:val="00513805"/>
    <w:rsid w:val="00516021"/>
    <w:rsid w:val="00521CB6"/>
    <w:rsid w:val="00522D16"/>
    <w:rsid w:val="00530F6E"/>
    <w:rsid w:val="00531E94"/>
    <w:rsid w:val="00536A45"/>
    <w:rsid w:val="005400F6"/>
    <w:rsid w:val="00540E8D"/>
    <w:rsid w:val="005424E6"/>
    <w:rsid w:val="0054527D"/>
    <w:rsid w:val="00553B4A"/>
    <w:rsid w:val="0055658A"/>
    <w:rsid w:val="005577DD"/>
    <w:rsid w:val="00560115"/>
    <w:rsid w:val="0056012F"/>
    <w:rsid w:val="00571C18"/>
    <w:rsid w:val="00573DD9"/>
    <w:rsid w:val="00574ECE"/>
    <w:rsid w:val="0057769D"/>
    <w:rsid w:val="00583523"/>
    <w:rsid w:val="0058601F"/>
    <w:rsid w:val="005864C8"/>
    <w:rsid w:val="00590FB2"/>
    <w:rsid w:val="00594819"/>
    <w:rsid w:val="00595C50"/>
    <w:rsid w:val="005A336F"/>
    <w:rsid w:val="005B0B47"/>
    <w:rsid w:val="005B5F71"/>
    <w:rsid w:val="005B6CBF"/>
    <w:rsid w:val="005C05D4"/>
    <w:rsid w:val="005C1D7E"/>
    <w:rsid w:val="005C7A94"/>
    <w:rsid w:val="005D08DA"/>
    <w:rsid w:val="005D0C39"/>
    <w:rsid w:val="005D160E"/>
    <w:rsid w:val="005D324F"/>
    <w:rsid w:val="005D7003"/>
    <w:rsid w:val="005E3FFA"/>
    <w:rsid w:val="005E440C"/>
    <w:rsid w:val="005E52C1"/>
    <w:rsid w:val="005E6DF7"/>
    <w:rsid w:val="005F0802"/>
    <w:rsid w:val="005F2D23"/>
    <w:rsid w:val="005F33C6"/>
    <w:rsid w:val="00603830"/>
    <w:rsid w:val="00605425"/>
    <w:rsid w:val="00605E49"/>
    <w:rsid w:val="00610E69"/>
    <w:rsid w:val="00614693"/>
    <w:rsid w:val="006167A2"/>
    <w:rsid w:val="006403FA"/>
    <w:rsid w:val="00660898"/>
    <w:rsid w:val="006619F8"/>
    <w:rsid w:val="006640E6"/>
    <w:rsid w:val="00673923"/>
    <w:rsid w:val="0069770A"/>
    <w:rsid w:val="006A0271"/>
    <w:rsid w:val="006A127E"/>
    <w:rsid w:val="006A237B"/>
    <w:rsid w:val="006B250C"/>
    <w:rsid w:val="006B27C2"/>
    <w:rsid w:val="006C0D1D"/>
    <w:rsid w:val="006C2A75"/>
    <w:rsid w:val="006C2D94"/>
    <w:rsid w:val="006C6071"/>
    <w:rsid w:val="006D5E26"/>
    <w:rsid w:val="006E383E"/>
    <w:rsid w:val="006E4F37"/>
    <w:rsid w:val="006E5C84"/>
    <w:rsid w:val="006E7EA2"/>
    <w:rsid w:val="00714742"/>
    <w:rsid w:val="00725044"/>
    <w:rsid w:val="00726B11"/>
    <w:rsid w:val="00734349"/>
    <w:rsid w:val="0073480C"/>
    <w:rsid w:val="00752D98"/>
    <w:rsid w:val="00755870"/>
    <w:rsid w:val="00755D15"/>
    <w:rsid w:val="00770904"/>
    <w:rsid w:val="00771A06"/>
    <w:rsid w:val="00772DB7"/>
    <w:rsid w:val="007858C9"/>
    <w:rsid w:val="0079089E"/>
    <w:rsid w:val="0079250A"/>
    <w:rsid w:val="00792EAA"/>
    <w:rsid w:val="0079702B"/>
    <w:rsid w:val="007A3285"/>
    <w:rsid w:val="007A3E9B"/>
    <w:rsid w:val="007A4107"/>
    <w:rsid w:val="007B0765"/>
    <w:rsid w:val="007B14CC"/>
    <w:rsid w:val="007B59F5"/>
    <w:rsid w:val="007C75E9"/>
    <w:rsid w:val="007D2D6D"/>
    <w:rsid w:val="007D6B4C"/>
    <w:rsid w:val="007E4723"/>
    <w:rsid w:val="007E61BE"/>
    <w:rsid w:val="00801D2D"/>
    <w:rsid w:val="00803853"/>
    <w:rsid w:val="0080483D"/>
    <w:rsid w:val="008079C2"/>
    <w:rsid w:val="00807FE0"/>
    <w:rsid w:val="008138C9"/>
    <w:rsid w:val="008162BA"/>
    <w:rsid w:val="00816433"/>
    <w:rsid w:val="00821C18"/>
    <w:rsid w:val="00833425"/>
    <w:rsid w:val="00841636"/>
    <w:rsid w:val="00842A74"/>
    <w:rsid w:val="0085325A"/>
    <w:rsid w:val="008547FF"/>
    <w:rsid w:val="008626B0"/>
    <w:rsid w:val="008659EA"/>
    <w:rsid w:val="0087062D"/>
    <w:rsid w:val="00875760"/>
    <w:rsid w:val="00881D72"/>
    <w:rsid w:val="008864DB"/>
    <w:rsid w:val="00886DC5"/>
    <w:rsid w:val="00887970"/>
    <w:rsid w:val="00893A2C"/>
    <w:rsid w:val="00897F02"/>
    <w:rsid w:val="008A4776"/>
    <w:rsid w:val="008A4C83"/>
    <w:rsid w:val="008B420E"/>
    <w:rsid w:val="008B5FB1"/>
    <w:rsid w:val="008B6A36"/>
    <w:rsid w:val="008B75A1"/>
    <w:rsid w:val="008C2C08"/>
    <w:rsid w:val="008D0479"/>
    <w:rsid w:val="008D0E40"/>
    <w:rsid w:val="008D422D"/>
    <w:rsid w:val="008E18B6"/>
    <w:rsid w:val="008E1E17"/>
    <w:rsid w:val="008F150C"/>
    <w:rsid w:val="008F42B4"/>
    <w:rsid w:val="00900E6C"/>
    <w:rsid w:val="0091382B"/>
    <w:rsid w:val="00913B17"/>
    <w:rsid w:val="00916DCE"/>
    <w:rsid w:val="009176C7"/>
    <w:rsid w:val="00917989"/>
    <w:rsid w:val="009271FC"/>
    <w:rsid w:val="00933475"/>
    <w:rsid w:val="00937785"/>
    <w:rsid w:val="00940029"/>
    <w:rsid w:val="009419DE"/>
    <w:rsid w:val="00953A7F"/>
    <w:rsid w:val="00957814"/>
    <w:rsid w:val="00957EEC"/>
    <w:rsid w:val="00965552"/>
    <w:rsid w:val="00965CBE"/>
    <w:rsid w:val="00973526"/>
    <w:rsid w:val="00975323"/>
    <w:rsid w:val="00996578"/>
    <w:rsid w:val="009A0AE6"/>
    <w:rsid w:val="009A24B7"/>
    <w:rsid w:val="009A4977"/>
    <w:rsid w:val="009B05BB"/>
    <w:rsid w:val="009B56A9"/>
    <w:rsid w:val="009C342C"/>
    <w:rsid w:val="009C5B81"/>
    <w:rsid w:val="009D245C"/>
    <w:rsid w:val="009D2771"/>
    <w:rsid w:val="009E149E"/>
    <w:rsid w:val="009E6137"/>
    <w:rsid w:val="009F2710"/>
    <w:rsid w:val="009F4941"/>
    <w:rsid w:val="009F6628"/>
    <w:rsid w:val="00A06E5C"/>
    <w:rsid w:val="00A124B9"/>
    <w:rsid w:val="00A149A4"/>
    <w:rsid w:val="00A1550F"/>
    <w:rsid w:val="00A16138"/>
    <w:rsid w:val="00A2740A"/>
    <w:rsid w:val="00A33D50"/>
    <w:rsid w:val="00A41408"/>
    <w:rsid w:val="00A43CD3"/>
    <w:rsid w:val="00A4788C"/>
    <w:rsid w:val="00A5484C"/>
    <w:rsid w:val="00A614B2"/>
    <w:rsid w:val="00A67164"/>
    <w:rsid w:val="00A73915"/>
    <w:rsid w:val="00A809D8"/>
    <w:rsid w:val="00A81E47"/>
    <w:rsid w:val="00A823C0"/>
    <w:rsid w:val="00A84E35"/>
    <w:rsid w:val="00A96E47"/>
    <w:rsid w:val="00AA40C6"/>
    <w:rsid w:val="00AA744D"/>
    <w:rsid w:val="00AB3518"/>
    <w:rsid w:val="00AB49BF"/>
    <w:rsid w:val="00AB7F0C"/>
    <w:rsid w:val="00AC1CDF"/>
    <w:rsid w:val="00AC468C"/>
    <w:rsid w:val="00AC48B2"/>
    <w:rsid w:val="00AD1951"/>
    <w:rsid w:val="00AE2AC1"/>
    <w:rsid w:val="00AE3521"/>
    <w:rsid w:val="00AF0FE6"/>
    <w:rsid w:val="00AF5CCE"/>
    <w:rsid w:val="00B02863"/>
    <w:rsid w:val="00B041BF"/>
    <w:rsid w:val="00B05A93"/>
    <w:rsid w:val="00B14BB3"/>
    <w:rsid w:val="00B31B9F"/>
    <w:rsid w:val="00B3318E"/>
    <w:rsid w:val="00B43DCA"/>
    <w:rsid w:val="00B60138"/>
    <w:rsid w:val="00B656B8"/>
    <w:rsid w:val="00B7404D"/>
    <w:rsid w:val="00B74319"/>
    <w:rsid w:val="00B77F87"/>
    <w:rsid w:val="00B83383"/>
    <w:rsid w:val="00B93A1F"/>
    <w:rsid w:val="00BA10D7"/>
    <w:rsid w:val="00BA1341"/>
    <w:rsid w:val="00BA32D5"/>
    <w:rsid w:val="00BA37E4"/>
    <w:rsid w:val="00BA4EBF"/>
    <w:rsid w:val="00BB3850"/>
    <w:rsid w:val="00BC3603"/>
    <w:rsid w:val="00BC4CB4"/>
    <w:rsid w:val="00BD18CA"/>
    <w:rsid w:val="00BD42E5"/>
    <w:rsid w:val="00BE09B0"/>
    <w:rsid w:val="00BE7B8E"/>
    <w:rsid w:val="00C02D8D"/>
    <w:rsid w:val="00C11F3C"/>
    <w:rsid w:val="00C17B66"/>
    <w:rsid w:val="00C27EAD"/>
    <w:rsid w:val="00C308DF"/>
    <w:rsid w:val="00C312F2"/>
    <w:rsid w:val="00C34954"/>
    <w:rsid w:val="00C34EA4"/>
    <w:rsid w:val="00C40F89"/>
    <w:rsid w:val="00C42A3D"/>
    <w:rsid w:val="00C47064"/>
    <w:rsid w:val="00C64068"/>
    <w:rsid w:val="00C66FC2"/>
    <w:rsid w:val="00C737C8"/>
    <w:rsid w:val="00C76220"/>
    <w:rsid w:val="00C83D4E"/>
    <w:rsid w:val="00C84E6E"/>
    <w:rsid w:val="00C8735B"/>
    <w:rsid w:val="00C911B4"/>
    <w:rsid w:val="00C96C88"/>
    <w:rsid w:val="00CA2FC4"/>
    <w:rsid w:val="00CA6A50"/>
    <w:rsid w:val="00CC446E"/>
    <w:rsid w:val="00CC7BE6"/>
    <w:rsid w:val="00CD1B43"/>
    <w:rsid w:val="00CD40D4"/>
    <w:rsid w:val="00CD4CED"/>
    <w:rsid w:val="00CE00AA"/>
    <w:rsid w:val="00CE0746"/>
    <w:rsid w:val="00CE31F4"/>
    <w:rsid w:val="00CF453C"/>
    <w:rsid w:val="00D0734D"/>
    <w:rsid w:val="00D108D2"/>
    <w:rsid w:val="00D134F1"/>
    <w:rsid w:val="00D155B2"/>
    <w:rsid w:val="00D20455"/>
    <w:rsid w:val="00D24D3A"/>
    <w:rsid w:val="00D31B44"/>
    <w:rsid w:val="00D31CA1"/>
    <w:rsid w:val="00D41777"/>
    <w:rsid w:val="00D5179C"/>
    <w:rsid w:val="00D567BD"/>
    <w:rsid w:val="00D61B73"/>
    <w:rsid w:val="00D66A81"/>
    <w:rsid w:val="00D71C4E"/>
    <w:rsid w:val="00D756D9"/>
    <w:rsid w:val="00D81004"/>
    <w:rsid w:val="00D8158C"/>
    <w:rsid w:val="00D81893"/>
    <w:rsid w:val="00DA2737"/>
    <w:rsid w:val="00DA2D48"/>
    <w:rsid w:val="00DA4222"/>
    <w:rsid w:val="00DA7A2D"/>
    <w:rsid w:val="00DB2401"/>
    <w:rsid w:val="00DB792C"/>
    <w:rsid w:val="00DD737A"/>
    <w:rsid w:val="00DE01C6"/>
    <w:rsid w:val="00DE083B"/>
    <w:rsid w:val="00DF0457"/>
    <w:rsid w:val="00DF71F3"/>
    <w:rsid w:val="00E04039"/>
    <w:rsid w:val="00E2402D"/>
    <w:rsid w:val="00E302DA"/>
    <w:rsid w:val="00E312B5"/>
    <w:rsid w:val="00E43F42"/>
    <w:rsid w:val="00E52945"/>
    <w:rsid w:val="00E545C0"/>
    <w:rsid w:val="00E602EF"/>
    <w:rsid w:val="00E70B1A"/>
    <w:rsid w:val="00E7562D"/>
    <w:rsid w:val="00E82B4D"/>
    <w:rsid w:val="00E9126B"/>
    <w:rsid w:val="00E938DA"/>
    <w:rsid w:val="00E93EAE"/>
    <w:rsid w:val="00E945AA"/>
    <w:rsid w:val="00E9509A"/>
    <w:rsid w:val="00E95D96"/>
    <w:rsid w:val="00E964F4"/>
    <w:rsid w:val="00EC1E04"/>
    <w:rsid w:val="00ED2905"/>
    <w:rsid w:val="00ED33C6"/>
    <w:rsid w:val="00EE128B"/>
    <w:rsid w:val="00EE2EB2"/>
    <w:rsid w:val="00EE4C8A"/>
    <w:rsid w:val="00EE4CDD"/>
    <w:rsid w:val="00EE5FB5"/>
    <w:rsid w:val="00EE5FDB"/>
    <w:rsid w:val="00EF098B"/>
    <w:rsid w:val="00EF2385"/>
    <w:rsid w:val="00EF5184"/>
    <w:rsid w:val="00EF5B29"/>
    <w:rsid w:val="00EF5DB0"/>
    <w:rsid w:val="00F0496A"/>
    <w:rsid w:val="00F11BF9"/>
    <w:rsid w:val="00F20D35"/>
    <w:rsid w:val="00F23EA0"/>
    <w:rsid w:val="00F278A2"/>
    <w:rsid w:val="00F31795"/>
    <w:rsid w:val="00F3456E"/>
    <w:rsid w:val="00F35062"/>
    <w:rsid w:val="00F3762A"/>
    <w:rsid w:val="00F55619"/>
    <w:rsid w:val="00F56BE5"/>
    <w:rsid w:val="00F60BDB"/>
    <w:rsid w:val="00F60EA7"/>
    <w:rsid w:val="00F613BB"/>
    <w:rsid w:val="00F70DC2"/>
    <w:rsid w:val="00F7132C"/>
    <w:rsid w:val="00F74C64"/>
    <w:rsid w:val="00F801EC"/>
    <w:rsid w:val="00F81539"/>
    <w:rsid w:val="00F836CA"/>
    <w:rsid w:val="00F83D01"/>
    <w:rsid w:val="00F90F84"/>
    <w:rsid w:val="00F929B2"/>
    <w:rsid w:val="00F93231"/>
    <w:rsid w:val="00F94889"/>
    <w:rsid w:val="00F96961"/>
    <w:rsid w:val="00FC1FE7"/>
    <w:rsid w:val="00FC1FEB"/>
    <w:rsid w:val="00FC2514"/>
    <w:rsid w:val="00FC5DE2"/>
    <w:rsid w:val="00FD5BF3"/>
    <w:rsid w:val="00FE3E5F"/>
    <w:rsid w:val="00FF3689"/>
    <w:rsid w:val="00FF68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BE2EE"/>
  <w15:docId w15:val="{24B95F93-C7EB-41E7-A4D2-5BBE7547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679" w:hanging="567"/>
      <w:outlineLvl w:val="0"/>
    </w:pPr>
    <w:rPr>
      <w:b/>
      <w:bCs/>
    </w:rPr>
  </w:style>
  <w:style w:type="paragraph" w:styleId="Heading2">
    <w:name w:val="heading 2"/>
    <w:basedOn w:val="Normal"/>
    <w:uiPriority w:val="9"/>
    <w:unhideWhenUsed/>
    <w:qFormat/>
    <w:pPr>
      <w:spacing w:before="119"/>
      <w:ind w:left="473" w:right="829"/>
      <w:jc w:val="both"/>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5"/>
      <w:ind w:left="569" w:hanging="457"/>
    </w:pPr>
    <w:rPr>
      <w:b/>
      <w:bCs/>
      <w:sz w:val="20"/>
      <w:szCs w:val="20"/>
    </w:rPr>
  </w:style>
  <w:style w:type="paragraph" w:styleId="BodyText">
    <w:name w:val="Body Text"/>
    <w:basedOn w:val="Normal"/>
    <w:link w:val="BodyTextChar"/>
    <w:uiPriority w:val="1"/>
    <w:qFormat/>
  </w:style>
  <w:style w:type="paragraph" w:styleId="Title">
    <w:name w:val="Title"/>
    <w:basedOn w:val="Normal"/>
    <w:uiPriority w:val="10"/>
    <w:qFormat/>
    <w:pPr>
      <w:spacing w:before="258"/>
      <w:ind w:left="1689" w:right="2410"/>
      <w:jc w:val="center"/>
    </w:pPr>
    <w:rPr>
      <w:b/>
      <w:bCs/>
      <w:i/>
      <w:sz w:val="34"/>
      <w:szCs w:val="34"/>
    </w:rPr>
  </w:style>
  <w:style w:type="paragraph" w:styleId="ListParagraph">
    <w:name w:val="List Paragraph"/>
    <w:basedOn w:val="Normal"/>
    <w:uiPriority w:val="1"/>
    <w:qFormat/>
    <w:pPr>
      <w:spacing w:before="119"/>
      <w:ind w:left="833" w:hanging="360"/>
    </w:pPr>
  </w:style>
  <w:style w:type="paragraph" w:customStyle="1" w:styleId="TableParagraph">
    <w:name w:val="Table Paragraph"/>
    <w:basedOn w:val="Normal"/>
    <w:uiPriority w:val="1"/>
    <w:qFormat/>
    <w:pPr>
      <w:spacing w:line="204" w:lineRule="exact"/>
    </w:pPr>
  </w:style>
  <w:style w:type="character" w:styleId="CommentReference">
    <w:name w:val="annotation reference"/>
    <w:basedOn w:val="DefaultParagraphFont"/>
    <w:uiPriority w:val="99"/>
    <w:semiHidden/>
    <w:unhideWhenUsed/>
    <w:rsid w:val="00EE4CDD"/>
    <w:rPr>
      <w:sz w:val="16"/>
      <w:szCs w:val="16"/>
    </w:rPr>
  </w:style>
  <w:style w:type="paragraph" w:styleId="CommentText">
    <w:name w:val="annotation text"/>
    <w:basedOn w:val="Normal"/>
    <w:link w:val="CommentTextChar"/>
    <w:uiPriority w:val="99"/>
    <w:semiHidden/>
    <w:unhideWhenUsed/>
    <w:rsid w:val="00EE4CDD"/>
    <w:rPr>
      <w:sz w:val="20"/>
      <w:szCs w:val="20"/>
    </w:rPr>
  </w:style>
  <w:style w:type="character" w:customStyle="1" w:styleId="CommentTextChar">
    <w:name w:val="Comment Text Char"/>
    <w:basedOn w:val="DefaultParagraphFont"/>
    <w:link w:val="CommentText"/>
    <w:uiPriority w:val="99"/>
    <w:semiHidden/>
    <w:rsid w:val="00EE4CDD"/>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EE4CDD"/>
    <w:rPr>
      <w:b/>
      <w:bCs/>
    </w:rPr>
  </w:style>
  <w:style w:type="character" w:customStyle="1" w:styleId="CommentSubjectChar">
    <w:name w:val="Comment Subject Char"/>
    <w:basedOn w:val="CommentTextChar"/>
    <w:link w:val="CommentSubject"/>
    <w:uiPriority w:val="99"/>
    <w:semiHidden/>
    <w:rsid w:val="00EE4CDD"/>
    <w:rPr>
      <w:rFonts w:ascii="Cambria" w:eastAsia="Cambria" w:hAnsi="Cambria" w:cs="Cambria"/>
      <w:b/>
      <w:bCs/>
      <w:sz w:val="20"/>
      <w:szCs w:val="20"/>
    </w:rPr>
  </w:style>
  <w:style w:type="paragraph" w:styleId="BalloonText">
    <w:name w:val="Balloon Text"/>
    <w:basedOn w:val="Normal"/>
    <w:link w:val="BalloonTextChar"/>
    <w:uiPriority w:val="99"/>
    <w:semiHidden/>
    <w:unhideWhenUsed/>
    <w:rsid w:val="00EE4C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CDD"/>
    <w:rPr>
      <w:rFonts w:ascii="Segoe UI" w:eastAsia="Cambria" w:hAnsi="Segoe UI" w:cs="Segoe UI"/>
      <w:sz w:val="18"/>
      <w:szCs w:val="18"/>
    </w:rPr>
  </w:style>
  <w:style w:type="character" w:styleId="Hyperlink">
    <w:name w:val="Hyperlink"/>
    <w:basedOn w:val="DefaultParagraphFont"/>
    <w:uiPriority w:val="99"/>
    <w:unhideWhenUsed/>
    <w:rsid w:val="006C2D94"/>
    <w:rPr>
      <w:color w:val="0000FF" w:themeColor="hyperlink"/>
      <w:u w:val="single"/>
    </w:rPr>
  </w:style>
  <w:style w:type="paragraph" w:styleId="TOCHeading">
    <w:name w:val="TOC Heading"/>
    <w:basedOn w:val="Heading1"/>
    <w:next w:val="Normal"/>
    <w:autoRedefine/>
    <w:uiPriority w:val="39"/>
    <w:unhideWhenUsed/>
    <w:qFormat/>
    <w:rsid w:val="001C53A6"/>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000000" w:themeColor="text1"/>
      <w:sz w:val="32"/>
      <w:szCs w:val="32"/>
    </w:rPr>
  </w:style>
  <w:style w:type="paragraph" w:styleId="Header">
    <w:name w:val="header"/>
    <w:basedOn w:val="Normal"/>
    <w:link w:val="HeaderChar"/>
    <w:uiPriority w:val="99"/>
    <w:unhideWhenUsed/>
    <w:rsid w:val="005E6DF7"/>
    <w:pPr>
      <w:tabs>
        <w:tab w:val="center" w:pos="4513"/>
        <w:tab w:val="right" w:pos="9026"/>
      </w:tabs>
    </w:pPr>
  </w:style>
  <w:style w:type="character" w:customStyle="1" w:styleId="HeaderChar">
    <w:name w:val="Header Char"/>
    <w:basedOn w:val="DefaultParagraphFont"/>
    <w:link w:val="Header"/>
    <w:uiPriority w:val="99"/>
    <w:rsid w:val="005E6DF7"/>
    <w:rPr>
      <w:rFonts w:ascii="Cambria" w:eastAsia="Cambria" w:hAnsi="Cambria" w:cs="Cambria"/>
    </w:rPr>
  </w:style>
  <w:style w:type="paragraph" w:styleId="Footer">
    <w:name w:val="footer"/>
    <w:basedOn w:val="Normal"/>
    <w:link w:val="FooterChar"/>
    <w:uiPriority w:val="99"/>
    <w:unhideWhenUsed/>
    <w:rsid w:val="005E6DF7"/>
    <w:pPr>
      <w:tabs>
        <w:tab w:val="center" w:pos="4513"/>
        <w:tab w:val="right" w:pos="9026"/>
      </w:tabs>
    </w:pPr>
  </w:style>
  <w:style w:type="character" w:customStyle="1" w:styleId="FooterChar">
    <w:name w:val="Footer Char"/>
    <w:basedOn w:val="DefaultParagraphFont"/>
    <w:link w:val="Footer"/>
    <w:uiPriority w:val="99"/>
    <w:rsid w:val="005E6DF7"/>
    <w:rPr>
      <w:rFonts w:ascii="Cambria" w:eastAsia="Cambria" w:hAnsi="Cambria" w:cs="Cambria"/>
    </w:rPr>
  </w:style>
  <w:style w:type="paragraph" w:styleId="FootnoteText">
    <w:name w:val="footnote text"/>
    <w:basedOn w:val="Normal"/>
    <w:link w:val="FootnoteTextChar"/>
    <w:uiPriority w:val="99"/>
    <w:unhideWhenUsed/>
    <w:qFormat/>
    <w:rsid w:val="000829BF"/>
    <w:rPr>
      <w:sz w:val="20"/>
      <w:szCs w:val="20"/>
    </w:rPr>
  </w:style>
  <w:style w:type="character" w:customStyle="1" w:styleId="FootnoteTextChar">
    <w:name w:val="Footnote Text Char"/>
    <w:basedOn w:val="DefaultParagraphFont"/>
    <w:link w:val="FootnoteText"/>
    <w:uiPriority w:val="99"/>
    <w:rsid w:val="000829BF"/>
    <w:rPr>
      <w:rFonts w:ascii="Cambria" w:eastAsia="Cambria" w:hAnsi="Cambria" w:cs="Cambria"/>
      <w:sz w:val="20"/>
      <w:szCs w:val="20"/>
    </w:rPr>
  </w:style>
  <w:style w:type="character" w:styleId="FootnoteReference">
    <w:name w:val="footnote reference"/>
    <w:basedOn w:val="DefaultParagraphFont"/>
    <w:uiPriority w:val="99"/>
    <w:unhideWhenUsed/>
    <w:qFormat/>
    <w:rsid w:val="000829BF"/>
    <w:rPr>
      <w:vertAlign w:val="superscript"/>
    </w:rPr>
  </w:style>
  <w:style w:type="paragraph" w:styleId="TOC2">
    <w:name w:val="toc 2"/>
    <w:basedOn w:val="Normal"/>
    <w:next w:val="Normal"/>
    <w:autoRedefine/>
    <w:uiPriority w:val="39"/>
    <w:unhideWhenUsed/>
    <w:rsid w:val="000829BF"/>
    <w:pPr>
      <w:widowControl/>
      <w:autoSpaceDE/>
      <w:autoSpaceDN/>
      <w:spacing w:after="100" w:line="259" w:lineRule="auto"/>
      <w:ind w:left="220"/>
    </w:pPr>
    <w:rPr>
      <w:rFonts w:asciiTheme="minorHAnsi" w:eastAsiaTheme="minorEastAsia" w:hAnsiTheme="minorHAnsi" w:cs="Times New Roman"/>
    </w:rPr>
  </w:style>
  <w:style w:type="paragraph" w:styleId="TOC3">
    <w:name w:val="toc 3"/>
    <w:basedOn w:val="Normal"/>
    <w:next w:val="Normal"/>
    <w:autoRedefine/>
    <w:uiPriority w:val="39"/>
    <w:unhideWhenUsed/>
    <w:rsid w:val="000829BF"/>
    <w:pPr>
      <w:widowControl/>
      <w:autoSpaceDE/>
      <w:autoSpaceDN/>
      <w:spacing w:after="100" w:line="259" w:lineRule="auto"/>
      <w:ind w:left="440"/>
    </w:pPr>
    <w:rPr>
      <w:rFonts w:asciiTheme="minorHAnsi" w:eastAsiaTheme="minorEastAsia" w:hAnsiTheme="minorHAnsi" w:cs="Times New Roman"/>
    </w:rPr>
  </w:style>
  <w:style w:type="character" w:customStyle="1" w:styleId="BodyTextChar">
    <w:name w:val="Body Text Char"/>
    <w:basedOn w:val="DefaultParagraphFont"/>
    <w:link w:val="BodyText"/>
    <w:uiPriority w:val="1"/>
    <w:rsid w:val="00372388"/>
    <w:rPr>
      <w:rFonts w:ascii="Cambria" w:eastAsia="Cambria" w:hAnsi="Cambria" w:cs="Cambria"/>
    </w:rPr>
  </w:style>
  <w:style w:type="paragraph" w:styleId="ListBullet">
    <w:name w:val="List Bullet"/>
    <w:basedOn w:val="Normal"/>
    <w:uiPriority w:val="99"/>
    <w:unhideWhenUsed/>
    <w:rsid w:val="001B5039"/>
    <w:pPr>
      <w:numPr>
        <w:numId w:val="23"/>
      </w:numPr>
      <w:contextualSpacing/>
    </w:pPr>
  </w:style>
  <w:style w:type="character" w:customStyle="1" w:styleId="tlid-translation">
    <w:name w:val="tlid-translation"/>
    <w:basedOn w:val="DefaultParagraphFont"/>
    <w:rsid w:val="00A43CD3"/>
  </w:style>
  <w:style w:type="paragraph" w:styleId="Revision">
    <w:name w:val="Revision"/>
    <w:hidden/>
    <w:uiPriority w:val="99"/>
    <w:semiHidden/>
    <w:rsid w:val="00E312B5"/>
    <w:pPr>
      <w:widowControl/>
      <w:autoSpaceDE/>
      <w:autoSpaceDN/>
    </w:pPr>
    <w:rPr>
      <w:rFonts w:ascii="Cambria" w:eastAsia="Cambria" w:hAnsi="Cambria" w:cs="Cambria"/>
    </w:rPr>
  </w:style>
  <w:style w:type="table" w:styleId="TableGrid">
    <w:name w:val="Table Grid"/>
    <w:basedOn w:val="TableNormal"/>
    <w:uiPriority w:val="39"/>
    <w:rsid w:val="00BA3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3E6F9C"/>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1465">
      <w:bodyDiv w:val="1"/>
      <w:marLeft w:val="0"/>
      <w:marRight w:val="0"/>
      <w:marTop w:val="0"/>
      <w:marBottom w:val="0"/>
      <w:divBdr>
        <w:top w:val="none" w:sz="0" w:space="0" w:color="auto"/>
        <w:left w:val="none" w:sz="0" w:space="0" w:color="auto"/>
        <w:bottom w:val="none" w:sz="0" w:space="0" w:color="auto"/>
        <w:right w:val="none" w:sz="0" w:space="0" w:color="auto"/>
      </w:divBdr>
    </w:div>
    <w:div w:id="70010205">
      <w:bodyDiv w:val="1"/>
      <w:marLeft w:val="0"/>
      <w:marRight w:val="0"/>
      <w:marTop w:val="0"/>
      <w:marBottom w:val="0"/>
      <w:divBdr>
        <w:top w:val="none" w:sz="0" w:space="0" w:color="auto"/>
        <w:left w:val="none" w:sz="0" w:space="0" w:color="auto"/>
        <w:bottom w:val="none" w:sz="0" w:space="0" w:color="auto"/>
        <w:right w:val="none" w:sz="0" w:space="0" w:color="auto"/>
      </w:divBdr>
    </w:div>
    <w:div w:id="72435155">
      <w:bodyDiv w:val="1"/>
      <w:marLeft w:val="0"/>
      <w:marRight w:val="0"/>
      <w:marTop w:val="0"/>
      <w:marBottom w:val="0"/>
      <w:divBdr>
        <w:top w:val="none" w:sz="0" w:space="0" w:color="auto"/>
        <w:left w:val="none" w:sz="0" w:space="0" w:color="auto"/>
        <w:bottom w:val="none" w:sz="0" w:space="0" w:color="auto"/>
        <w:right w:val="none" w:sz="0" w:space="0" w:color="auto"/>
      </w:divBdr>
    </w:div>
    <w:div w:id="128868830">
      <w:bodyDiv w:val="1"/>
      <w:marLeft w:val="0"/>
      <w:marRight w:val="0"/>
      <w:marTop w:val="0"/>
      <w:marBottom w:val="0"/>
      <w:divBdr>
        <w:top w:val="none" w:sz="0" w:space="0" w:color="auto"/>
        <w:left w:val="none" w:sz="0" w:space="0" w:color="auto"/>
        <w:bottom w:val="none" w:sz="0" w:space="0" w:color="auto"/>
        <w:right w:val="none" w:sz="0" w:space="0" w:color="auto"/>
      </w:divBdr>
    </w:div>
    <w:div w:id="224488164">
      <w:bodyDiv w:val="1"/>
      <w:marLeft w:val="0"/>
      <w:marRight w:val="0"/>
      <w:marTop w:val="0"/>
      <w:marBottom w:val="0"/>
      <w:divBdr>
        <w:top w:val="none" w:sz="0" w:space="0" w:color="auto"/>
        <w:left w:val="none" w:sz="0" w:space="0" w:color="auto"/>
        <w:bottom w:val="none" w:sz="0" w:space="0" w:color="auto"/>
        <w:right w:val="none" w:sz="0" w:space="0" w:color="auto"/>
      </w:divBdr>
    </w:div>
    <w:div w:id="507523462">
      <w:bodyDiv w:val="1"/>
      <w:marLeft w:val="0"/>
      <w:marRight w:val="0"/>
      <w:marTop w:val="0"/>
      <w:marBottom w:val="0"/>
      <w:divBdr>
        <w:top w:val="none" w:sz="0" w:space="0" w:color="auto"/>
        <w:left w:val="none" w:sz="0" w:space="0" w:color="auto"/>
        <w:bottom w:val="none" w:sz="0" w:space="0" w:color="auto"/>
        <w:right w:val="none" w:sz="0" w:space="0" w:color="auto"/>
      </w:divBdr>
    </w:div>
    <w:div w:id="525824691">
      <w:bodyDiv w:val="1"/>
      <w:marLeft w:val="0"/>
      <w:marRight w:val="0"/>
      <w:marTop w:val="0"/>
      <w:marBottom w:val="0"/>
      <w:divBdr>
        <w:top w:val="none" w:sz="0" w:space="0" w:color="auto"/>
        <w:left w:val="none" w:sz="0" w:space="0" w:color="auto"/>
        <w:bottom w:val="none" w:sz="0" w:space="0" w:color="auto"/>
        <w:right w:val="none" w:sz="0" w:space="0" w:color="auto"/>
      </w:divBdr>
    </w:div>
    <w:div w:id="628054060">
      <w:bodyDiv w:val="1"/>
      <w:marLeft w:val="0"/>
      <w:marRight w:val="0"/>
      <w:marTop w:val="0"/>
      <w:marBottom w:val="0"/>
      <w:divBdr>
        <w:top w:val="none" w:sz="0" w:space="0" w:color="auto"/>
        <w:left w:val="none" w:sz="0" w:space="0" w:color="auto"/>
        <w:bottom w:val="none" w:sz="0" w:space="0" w:color="auto"/>
        <w:right w:val="none" w:sz="0" w:space="0" w:color="auto"/>
      </w:divBdr>
    </w:div>
    <w:div w:id="776296236">
      <w:bodyDiv w:val="1"/>
      <w:marLeft w:val="0"/>
      <w:marRight w:val="0"/>
      <w:marTop w:val="0"/>
      <w:marBottom w:val="0"/>
      <w:divBdr>
        <w:top w:val="none" w:sz="0" w:space="0" w:color="auto"/>
        <w:left w:val="none" w:sz="0" w:space="0" w:color="auto"/>
        <w:bottom w:val="none" w:sz="0" w:space="0" w:color="auto"/>
        <w:right w:val="none" w:sz="0" w:space="0" w:color="auto"/>
      </w:divBdr>
    </w:div>
    <w:div w:id="934367087">
      <w:bodyDiv w:val="1"/>
      <w:marLeft w:val="0"/>
      <w:marRight w:val="0"/>
      <w:marTop w:val="0"/>
      <w:marBottom w:val="0"/>
      <w:divBdr>
        <w:top w:val="none" w:sz="0" w:space="0" w:color="auto"/>
        <w:left w:val="none" w:sz="0" w:space="0" w:color="auto"/>
        <w:bottom w:val="none" w:sz="0" w:space="0" w:color="auto"/>
        <w:right w:val="none" w:sz="0" w:space="0" w:color="auto"/>
      </w:divBdr>
    </w:div>
    <w:div w:id="983899632">
      <w:bodyDiv w:val="1"/>
      <w:marLeft w:val="0"/>
      <w:marRight w:val="0"/>
      <w:marTop w:val="0"/>
      <w:marBottom w:val="0"/>
      <w:divBdr>
        <w:top w:val="none" w:sz="0" w:space="0" w:color="auto"/>
        <w:left w:val="none" w:sz="0" w:space="0" w:color="auto"/>
        <w:bottom w:val="none" w:sz="0" w:space="0" w:color="auto"/>
        <w:right w:val="none" w:sz="0" w:space="0" w:color="auto"/>
      </w:divBdr>
    </w:div>
    <w:div w:id="1017804976">
      <w:bodyDiv w:val="1"/>
      <w:marLeft w:val="0"/>
      <w:marRight w:val="0"/>
      <w:marTop w:val="0"/>
      <w:marBottom w:val="0"/>
      <w:divBdr>
        <w:top w:val="none" w:sz="0" w:space="0" w:color="auto"/>
        <w:left w:val="none" w:sz="0" w:space="0" w:color="auto"/>
        <w:bottom w:val="none" w:sz="0" w:space="0" w:color="auto"/>
        <w:right w:val="none" w:sz="0" w:space="0" w:color="auto"/>
      </w:divBdr>
    </w:div>
    <w:div w:id="1034571896">
      <w:bodyDiv w:val="1"/>
      <w:marLeft w:val="0"/>
      <w:marRight w:val="0"/>
      <w:marTop w:val="0"/>
      <w:marBottom w:val="0"/>
      <w:divBdr>
        <w:top w:val="none" w:sz="0" w:space="0" w:color="auto"/>
        <w:left w:val="none" w:sz="0" w:space="0" w:color="auto"/>
        <w:bottom w:val="none" w:sz="0" w:space="0" w:color="auto"/>
        <w:right w:val="none" w:sz="0" w:space="0" w:color="auto"/>
      </w:divBdr>
    </w:div>
    <w:div w:id="1113672149">
      <w:bodyDiv w:val="1"/>
      <w:marLeft w:val="0"/>
      <w:marRight w:val="0"/>
      <w:marTop w:val="0"/>
      <w:marBottom w:val="0"/>
      <w:divBdr>
        <w:top w:val="none" w:sz="0" w:space="0" w:color="auto"/>
        <w:left w:val="none" w:sz="0" w:space="0" w:color="auto"/>
        <w:bottom w:val="none" w:sz="0" w:space="0" w:color="auto"/>
        <w:right w:val="none" w:sz="0" w:space="0" w:color="auto"/>
      </w:divBdr>
    </w:div>
    <w:div w:id="1176730431">
      <w:bodyDiv w:val="1"/>
      <w:marLeft w:val="0"/>
      <w:marRight w:val="0"/>
      <w:marTop w:val="0"/>
      <w:marBottom w:val="0"/>
      <w:divBdr>
        <w:top w:val="none" w:sz="0" w:space="0" w:color="auto"/>
        <w:left w:val="none" w:sz="0" w:space="0" w:color="auto"/>
        <w:bottom w:val="none" w:sz="0" w:space="0" w:color="auto"/>
        <w:right w:val="none" w:sz="0" w:space="0" w:color="auto"/>
      </w:divBdr>
    </w:div>
    <w:div w:id="1286427717">
      <w:bodyDiv w:val="1"/>
      <w:marLeft w:val="0"/>
      <w:marRight w:val="0"/>
      <w:marTop w:val="0"/>
      <w:marBottom w:val="0"/>
      <w:divBdr>
        <w:top w:val="none" w:sz="0" w:space="0" w:color="auto"/>
        <w:left w:val="none" w:sz="0" w:space="0" w:color="auto"/>
        <w:bottom w:val="none" w:sz="0" w:space="0" w:color="auto"/>
        <w:right w:val="none" w:sz="0" w:space="0" w:color="auto"/>
      </w:divBdr>
    </w:div>
    <w:div w:id="1301425560">
      <w:bodyDiv w:val="1"/>
      <w:marLeft w:val="0"/>
      <w:marRight w:val="0"/>
      <w:marTop w:val="0"/>
      <w:marBottom w:val="0"/>
      <w:divBdr>
        <w:top w:val="none" w:sz="0" w:space="0" w:color="auto"/>
        <w:left w:val="none" w:sz="0" w:space="0" w:color="auto"/>
        <w:bottom w:val="none" w:sz="0" w:space="0" w:color="auto"/>
        <w:right w:val="none" w:sz="0" w:space="0" w:color="auto"/>
      </w:divBdr>
    </w:div>
    <w:div w:id="1331328333">
      <w:bodyDiv w:val="1"/>
      <w:marLeft w:val="0"/>
      <w:marRight w:val="0"/>
      <w:marTop w:val="0"/>
      <w:marBottom w:val="0"/>
      <w:divBdr>
        <w:top w:val="none" w:sz="0" w:space="0" w:color="auto"/>
        <w:left w:val="none" w:sz="0" w:space="0" w:color="auto"/>
        <w:bottom w:val="none" w:sz="0" w:space="0" w:color="auto"/>
        <w:right w:val="none" w:sz="0" w:space="0" w:color="auto"/>
      </w:divBdr>
    </w:div>
    <w:div w:id="1341663343">
      <w:bodyDiv w:val="1"/>
      <w:marLeft w:val="0"/>
      <w:marRight w:val="0"/>
      <w:marTop w:val="0"/>
      <w:marBottom w:val="0"/>
      <w:divBdr>
        <w:top w:val="none" w:sz="0" w:space="0" w:color="auto"/>
        <w:left w:val="none" w:sz="0" w:space="0" w:color="auto"/>
        <w:bottom w:val="none" w:sz="0" w:space="0" w:color="auto"/>
        <w:right w:val="none" w:sz="0" w:space="0" w:color="auto"/>
      </w:divBdr>
    </w:div>
    <w:div w:id="1384672346">
      <w:bodyDiv w:val="1"/>
      <w:marLeft w:val="0"/>
      <w:marRight w:val="0"/>
      <w:marTop w:val="0"/>
      <w:marBottom w:val="0"/>
      <w:divBdr>
        <w:top w:val="none" w:sz="0" w:space="0" w:color="auto"/>
        <w:left w:val="none" w:sz="0" w:space="0" w:color="auto"/>
        <w:bottom w:val="none" w:sz="0" w:space="0" w:color="auto"/>
        <w:right w:val="none" w:sz="0" w:space="0" w:color="auto"/>
      </w:divBdr>
    </w:div>
    <w:div w:id="1411611901">
      <w:bodyDiv w:val="1"/>
      <w:marLeft w:val="0"/>
      <w:marRight w:val="0"/>
      <w:marTop w:val="0"/>
      <w:marBottom w:val="0"/>
      <w:divBdr>
        <w:top w:val="none" w:sz="0" w:space="0" w:color="auto"/>
        <w:left w:val="none" w:sz="0" w:space="0" w:color="auto"/>
        <w:bottom w:val="none" w:sz="0" w:space="0" w:color="auto"/>
        <w:right w:val="none" w:sz="0" w:space="0" w:color="auto"/>
      </w:divBdr>
    </w:div>
    <w:div w:id="1705859754">
      <w:bodyDiv w:val="1"/>
      <w:marLeft w:val="0"/>
      <w:marRight w:val="0"/>
      <w:marTop w:val="0"/>
      <w:marBottom w:val="0"/>
      <w:divBdr>
        <w:top w:val="none" w:sz="0" w:space="0" w:color="auto"/>
        <w:left w:val="none" w:sz="0" w:space="0" w:color="auto"/>
        <w:bottom w:val="none" w:sz="0" w:space="0" w:color="auto"/>
        <w:right w:val="none" w:sz="0" w:space="0" w:color="auto"/>
      </w:divBdr>
    </w:div>
    <w:div w:id="1708601314">
      <w:bodyDiv w:val="1"/>
      <w:marLeft w:val="0"/>
      <w:marRight w:val="0"/>
      <w:marTop w:val="0"/>
      <w:marBottom w:val="0"/>
      <w:divBdr>
        <w:top w:val="none" w:sz="0" w:space="0" w:color="auto"/>
        <w:left w:val="none" w:sz="0" w:space="0" w:color="auto"/>
        <w:bottom w:val="none" w:sz="0" w:space="0" w:color="auto"/>
        <w:right w:val="none" w:sz="0" w:space="0" w:color="auto"/>
      </w:divBdr>
    </w:div>
    <w:div w:id="1813520149">
      <w:bodyDiv w:val="1"/>
      <w:marLeft w:val="0"/>
      <w:marRight w:val="0"/>
      <w:marTop w:val="0"/>
      <w:marBottom w:val="0"/>
      <w:divBdr>
        <w:top w:val="none" w:sz="0" w:space="0" w:color="auto"/>
        <w:left w:val="none" w:sz="0" w:space="0" w:color="auto"/>
        <w:bottom w:val="none" w:sz="0" w:space="0" w:color="auto"/>
        <w:right w:val="none" w:sz="0" w:space="0" w:color="auto"/>
      </w:divBdr>
    </w:div>
    <w:div w:id="1958758256">
      <w:bodyDiv w:val="1"/>
      <w:marLeft w:val="0"/>
      <w:marRight w:val="0"/>
      <w:marTop w:val="0"/>
      <w:marBottom w:val="0"/>
      <w:divBdr>
        <w:top w:val="none" w:sz="0" w:space="0" w:color="auto"/>
        <w:left w:val="none" w:sz="0" w:space="0" w:color="auto"/>
        <w:bottom w:val="none" w:sz="0" w:space="0" w:color="auto"/>
        <w:right w:val="none" w:sz="0" w:space="0" w:color="auto"/>
      </w:divBdr>
    </w:div>
    <w:div w:id="1997369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91FFB770957946B72F7CBF9282C95D" ma:contentTypeVersion="" ma:contentTypeDescription="Create a new document." ma:contentTypeScope="" ma:versionID="2cfbb2ca94a143e2ccc5ccf51926fb89">
  <xsd:schema xmlns:xsd="http://www.w3.org/2001/XMLSchema" xmlns:xs="http://www.w3.org/2001/XMLSchema" xmlns:p="http://schemas.microsoft.com/office/2006/metadata/properties" xmlns:ns2="5631fab6-ce94-4509-bca6-6461103666bb" targetNamespace="http://schemas.microsoft.com/office/2006/metadata/properties" ma:root="true" ma:fieldsID="dcaf2623fa541a72056cef6ad987f5ad" ns2:_="">
    <xsd:import namespace="5631fab6-ce94-4509-bca6-6461103666b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1fab6-ce94-4509-bca6-6461103666b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1D371-2406-442B-B75E-6ECBFF278A0A}">
  <ds:schemaRefs>
    <ds:schemaRef ds:uri="http://schemas.microsoft.com/sharepoint/v3/contenttype/forms"/>
  </ds:schemaRefs>
</ds:datastoreItem>
</file>

<file path=customXml/itemProps2.xml><?xml version="1.0" encoding="utf-8"?>
<ds:datastoreItem xmlns:ds="http://schemas.openxmlformats.org/officeDocument/2006/customXml" ds:itemID="{B51D50F6-41C2-41E8-B935-DDF1B6352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1fab6-ce94-4509-bca6-646110366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7720AA-4EDB-4F0A-8E3E-5003DC310D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6181B3-1BDA-42BF-9F46-8F98AF7C4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5010</Words>
  <Characters>28559</Characters>
  <Application>Microsoft Office Word</Application>
  <DocSecurity>0</DocSecurity>
  <Lines>237</Lines>
  <Paragraphs>67</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technical_specification_phase 2_v1.0</vt:lpstr>
      <vt:lpstr/>
      <vt:lpstr/>
      <vt:lpstr/>
    </vt:vector>
  </TitlesOfParts>
  <Company>National Bank of Belgium</Company>
  <LinksUpToDate>false</LinksUpToDate>
  <CharactersWithSpaces>33502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technical_specification_phase 2_v1.0</dc:title>
  <dc:creator>Louis De Louvencourt</dc:creator>
  <cp:lastModifiedBy>Henry Daha</cp:lastModifiedBy>
  <cp:revision>2</cp:revision>
  <dcterms:created xsi:type="dcterms:W3CDTF">2021-09-28T10:51:00Z</dcterms:created>
  <dcterms:modified xsi:type="dcterms:W3CDTF">2021-09-28T10:51:00Z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2020-05-07T00:00:00Z</vt:filetime>
  </property>
  <property fmtid="{D5CDD505-2E9C-101B-9397-08002B2CF9AE}" pid="3" name="Creator">
    <vt:lpwstr>Microsoft® Word 2016</vt:lpwstr>
  </property>
  <property fmtid="{D5CDD505-2E9C-101B-9397-08002B2CF9AE}" pid="4" name="LastSaved">
    <vt:filetime>2020-07-27T00:00:00Z</vt:filetime>
  </property>
  <property fmtid="{D5CDD505-2E9C-101B-9397-08002B2CF9AE}" pid="5" name="ContentTypeId">
    <vt:lpwstr>0x010100C891FFB770957946B72F7CBF9282C95D</vt:lpwstr>
  </property>
</Properties>
</file>