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246CC30" w:rsidR="00B327E9" w:rsidRPr="00AB6D88" w:rsidRDefault="00B36AA8" w:rsidP="00F136AD">
                <w:pPr>
                  <w:rPr>
                    <w:rStyle w:val="PlaceholderText"/>
                    <w:rFonts w:cs="Arial"/>
                  </w:rPr>
                </w:pPr>
                <w:proofErr w:type="spellStart"/>
                <w:r>
                  <w:rPr>
                    <w:rStyle w:val="PlaceholderText"/>
                    <w:rFonts w:cs="Arial"/>
                  </w:rPr>
                  <w:t>cleversoft</w:t>
                </w:r>
                <w:proofErr w:type="spellEnd"/>
                <w:r>
                  <w:rPr>
                    <w:rStyle w:val="PlaceholderText"/>
                    <w:rFonts w:cs="Arial"/>
                  </w:rPr>
                  <w:t xml:space="preserve"> GmbH</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78A5F3C" w:rsidR="00B327E9" w:rsidRPr="00AB6D88" w:rsidRDefault="009E41AB"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6AA8">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65D8A12" w:rsidR="00B327E9" w:rsidRPr="00AB6D88" w:rsidRDefault="00B36AA8"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2D817B4D" w14:textId="77777777" w:rsidR="00B36AA8" w:rsidRPr="00B36AA8" w:rsidRDefault="00B36AA8" w:rsidP="00B36AA8">
      <w:pPr>
        <w:spacing w:before="240" w:after="240"/>
        <w:jc w:val="both"/>
        <w:rPr>
          <w:rFonts w:ascii="Times New Roman" w:hAnsi="Times New Roman"/>
          <w:sz w:val="24"/>
          <w:lang w:val="bg-BG" w:eastAsia="bg-BG"/>
        </w:rPr>
      </w:pPr>
      <w:permStart w:id="411981036" w:edGrp="everyone"/>
      <w:r w:rsidRPr="00B36AA8">
        <w:rPr>
          <w:rFonts w:ascii="Calibri" w:hAnsi="Calibri" w:cs="Calibri"/>
          <w:i/>
          <w:iCs/>
          <w:color w:val="000000"/>
          <w:sz w:val="22"/>
          <w:szCs w:val="22"/>
          <w:lang w:val="bg-BG" w:eastAsia="bg-BG"/>
        </w:rPr>
        <w:t>cleversoft is a leading RegTech provider who supports numerous global and local financial institutions with high expertise in the pre-trade regulatory requirements for manufacturers and distributors. cleversoft has gained excellent know-how in producing regulatory documents, especially PRIIPs KIDs and PIBs in the past nine years. cleversoft’s regulatory documents service covers the whole document generation and distribution cycle.</w:t>
      </w:r>
    </w:p>
    <w:p w14:paraId="5B63F6DD" w14:textId="77777777" w:rsidR="00B36AA8" w:rsidRPr="00B36AA8" w:rsidRDefault="00B36AA8" w:rsidP="00B36AA8">
      <w:pPr>
        <w:spacing w:before="240" w:after="240"/>
        <w:jc w:val="both"/>
        <w:rPr>
          <w:rFonts w:ascii="Times New Roman" w:hAnsi="Times New Roman"/>
          <w:sz w:val="24"/>
          <w:lang w:val="bg-BG" w:eastAsia="bg-BG"/>
        </w:rPr>
      </w:pPr>
      <w:r w:rsidRPr="00B36AA8">
        <w:rPr>
          <w:rFonts w:ascii="Calibri" w:hAnsi="Calibri" w:cs="Calibri"/>
          <w:i/>
          <w:iCs/>
          <w:color w:val="000000"/>
          <w:sz w:val="22"/>
          <w:szCs w:val="22"/>
          <w:lang w:val="bg-BG" w:eastAsia="bg-BG"/>
        </w:rPr>
        <w:t>The wide variety of our customer portfolio (Banks, Insurance companies and Asset Managers as well as manufacturers and distributors) ensures our deep insight in the PRIIPs regulation from different perspectives. </w:t>
      </w:r>
    </w:p>
    <w:p w14:paraId="6A3CB061" w14:textId="2502577A" w:rsidR="00B327E9" w:rsidRPr="00B36AA8" w:rsidRDefault="00B36AA8" w:rsidP="00B36AA8">
      <w:pPr>
        <w:rPr>
          <w:lang w:val="fr-FR"/>
        </w:rPr>
      </w:pPr>
      <w:r w:rsidRPr="00B36AA8">
        <w:rPr>
          <w:rFonts w:ascii="Calibri" w:hAnsi="Calibri" w:cs="Calibri"/>
          <w:i/>
          <w:iCs/>
          <w:color w:val="000000"/>
          <w:sz w:val="22"/>
          <w:szCs w:val="22"/>
          <w:lang w:val="bg-BG" w:eastAsia="bg-BG"/>
        </w:rPr>
        <w:t>We kindly ask you to consider our response to the Joint Consultation Paper where we have tried to carefully balance the many different aspects of both manufacturer’s and investor’s challenges with the PRIIP KIDs.</w:t>
      </w:r>
    </w:p>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35A51F48" w14:textId="77777777" w:rsidR="00DE4836" w:rsidRPr="00DE4836" w:rsidRDefault="00DE4836" w:rsidP="00DE4836">
      <w:pPr>
        <w:jc w:val="both"/>
        <w:rPr>
          <w:rFonts w:ascii="Times New Roman" w:hAnsi="Times New Roman"/>
          <w:sz w:val="24"/>
          <w:lang w:val="bg-BG" w:eastAsia="bg-BG"/>
        </w:rPr>
      </w:pPr>
      <w:permStart w:id="1221819945" w:edGrp="everyone"/>
      <w:r w:rsidRPr="00DE4836">
        <w:rPr>
          <w:rFonts w:ascii="Calibri" w:hAnsi="Calibri" w:cs="Calibri"/>
          <w:i/>
          <w:iCs/>
          <w:color w:val="000000"/>
          <w:sz w:val="22"/>
          <w:szCs w:val="22"/>
          <w:lang w:val="bg-BG" w:eastAsia="bg-BG"/>
        </w:rPr>
        <w:t>PRIIPs regulation has taken a great step towards enabling digital engagement, as example allowing the updates of PRIIP specific information for unit-linked funds in MOPs to be published only digitally.</w:t>
      </w:r>
    </w:p>
    <w:p w14:paraId="1AADCECC" w14:textId="77777777" w:rsidR="00DE4836" w:rsidRPr="00DE4836" w:rsidRDefault="00DE4836" w:rsidP="00DE4836">
      <w:pPr>
        <w:rPr>
          <w:rFonts w:ascii="Times New Roman" w:hAnsi="Times New Roman"/>
          <w:sz w:val="24"/>
          <w:lang w:val="bg-BG" w:eastAsia="bg-BG"/>
        </w:rPr>
      </w:pPr>
    </w:p>
    <w:p w14:paraId="18E32015" w14:textId="77777777" w:rsidR="00DE4836" w:rsidRPr="00DE4836" w:rsidRDefault="00DE4836" w:rsidP="00DE4836">
      <w:pPr>
        <w:jc w:val="both"/>
        <w:rPr>
          <w:rFonts w:ascii="Times New Roman" w:hAnsi="Times New Roman"/>
          <w:sz w:val="24"/>
          <w:lang w:val="bg-BG" w:eastAsia="bg-BG"/>
        </w:rPr>
      </w:pPr>
      <w:r w:rsidRPr="00DE4836">
        <w:rPr>
          <w:rFonts w:ascii="Calibri" w:hAnsi="Calibri" w:cs="Calibri"/>
          <w:i/>
          <w:iCs/>
          <w:color w:val="000000"/>
          <w:sz w:val="22"/>
          <w:szCs w:val="22"/>
          <w:lang w:val="bg-BG" w:eastAsia="bg-BG"/>
        </w:rPr>
        <w:t>We believe digital solutions could long term be taken further to enable the Manufacturers to publish documentation under PRIIPs (and other regulations) to be mass customized to the individual investment situation. Currently PRIIPs includes simplifications such as the standardized investment amount or non-personalized Baskets in Multi Option PRIIPs. Cloud based technology would allow to calculate ad hoc with the concrete investment amounts as well as the exact allocation of unit-link funds in the basket of funds regarding weightings.</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6415E03C" w14:textId="2B146981" w:rsidR="003E573C" w:rsidRDefault="00DE4836" w:rsidP="003E573C">
      <w:pPr>
        <w:rPr>
          <w:rFonts w:cs="Arial"/>
        </w:rPr>
      </w:pPr>
      <w:permStart w:id="729947415" w:edGrp="everyone"/>
      <w:r>
        <w:rPr>
          <w:rFonts w:ascii="Calibri" w:hAnsi="Calibri" w:cs="Calibri"/>
          <w:i/>
          <w:iCs/>
          <w:color w:val="000000"/>
          <w:sz w:val="22"/>
          <w:szCs w:val="22"/>
        </w:rPr>
        <w:t xml:space="preserve">Yes, KPIs like the SRI, MRM, scenario results should be embedded in a form that is easily scannable and extractable by an automated digital solution. However, it might make sense to check whether it would change anything for art. 20 of the delegated regulation (processes for periodical review of the KIDs data). </w:t>
      </w:r>
      <w:permEnd w:id="729947415"/>
      <w:r w:rsidR="003E573C">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683B95BA" w:rsidR="003E573C" w:rsidRDefault="00DE4836" w:rsidP="003E573C">
      <w:pPr>
        <w:rPr>
          <w:rFonts w:cs="Arial"/>
        </w:rPr>
      </w:pPr>
      <w:permStart w:id="677205538" w:edGrp="everyone"/>
      <w:r>
        <w:rPr>
          <w:rFonts w:ascii="Calibri" w:hAnsi="Calibri" w:cs="Calibri"/>
          <w:i/>
          <w:iCs/>
          <w:color w:val="000000"/>
          <w:sz w:val="22"/>
          <w:szCs w:val="22"/>
        </w:rPr>
        <w:t>In order to increase acceptance by consumers an improvement on the comprehensiveness of the PRIIPs KIDs is urgently needed. However, we are of the opinion that a reasonable time should be given to the stakeholders to adapt and implement the required changes. This will ensure that all stakeholders are able to adopt and apply the new changes simultaneously, ensuring that retail investors could receive consistent PRIIPs documents and information. The proposed timeframe, which suggests applying the changes together with the end of the UCITS transition period (01.01.2022) is appropriate.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5CABCE12" w:rsidR="003E573C" w:rsidRDefault="00DE4836" w:rsidP="003E573C">
      <w:pPr>
        <w:rPr>
          <w:rFonts w:cs="Arial"/>
        </w:rPr>
      </w:pPr>
      <w:permStart w:id="1220688604" w:edGrp="everyone"/>
      <w:r>
        <w:rPr>
          <w:rFonts w:ascii="Calibri" w:hAnsi="Calibri" w:cs="Calibri"/>
          <w:i/>
          <w:iCs/>
          <w:color w:val="000000"/>
          <w:sz w:val="22"/>
          <w:szCs w:val="22"/>
        </w:rPr>
        <w:t xml:space="preserve">No, at </w:t>
      </w:r>
      <w:proofErr w:type="gramStart"/>
      <w:r>
        <w:rPr>
          <w:rFonts w:ascii="Calibri" w:hAnsi="Calibri" w:cs="Calibri"/>
          <w:i/>
          <w:iCs/>
          <w:color w:val="000000"/>
          <w:sz w:val="22"/>
          <w:szCs w:val="22"/>
        </w:rPr>
        <w:t>best  all</w:t>
      </w:r>
      <w:proofErr w:type="gramEnd"/>
      <w:r>
        <w:rPr>
          <w:rFonts w:ascii="Calibri" w:hAnsi="Calibri" w:cs="Calibri"/>
          <w:i/>
          <w:iCs/>
          <w:color w:val="000000"/>
          <w:sz w:val="22"/>
          <w:szCs w:val="22"/>
        </w:rPr>
        <w:t xml:space="preserve">  required amendments are finalized and passed through the European Parliament by end of 2020 and applied simultaneously at the end of the transition period for UCITS (01.01.2022).</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lastRenderedPageBreak/>
        <w:t>&lt;ESA_QUESTION_PKID_5&gt;</w:t>
      </w:r>
    </w:p>
    <w:p w14:paraId="4EE27C0A" w14:textId="1ACE69C1" w:rsidR="003E573C" w:rsidRDefault="00DE4836" w:rsidP="003E573C">
      <w:pPr>
        <w:rPr>
          <w:rFonts w:cs="Arial"/>
        </w:rPr>
      </w:pPr>
      <w:permStart w:id="209390932" w:edGrp="everyone"/>
      <w:r>
        <w:rPr>
          <w:rFonts w:ascii="Calibri" w:hAnsi="Calibri" w:cs="Calibri"/>
          <w:i/>
          <w:iCs/>
          <w:color w:val="000000"/>
          <w:sz w:val="22"/>
          <w:szCs w:val="22"/>
        </w:rPr>
        <w:t xml:space="preserve">Agreeing to a common practice similar to </w:t>
      </w:r>
      <w:proofErr w:type="spellStart"/>
      <w:r>
        <w:rPr>
          <w:rFonts w:ascii="Calibri" w:hAnsi="Calibri" w:cs="Calibri"/>
          <w:i/>
          <w:iCs/>
          <w:color w:val="000000"/>
          <w:sz w:val="22"/>
          <w:szCs w:val="22"/>
        </w:rPr>
        <w:t>BaFin’s</w:t>
      </w:r>
      <w:proofErr w:type="spellEnd"/>
      <w:r>
        <w:rPr>
          <w:rFonts w:ascii="Calibri" w:hAnsi="Calibri" w:cs="Calibri"/>
          <w:i/>
          <w:iCs/>
          <w:color w:val="000000"/>
          <w:sz w:val="22"/>
          <w:szCs w:val="22"/>
        </w:rPr>
        <w:t xml:space="preserve"> recommendation of IDW PS 951 control reports for the German PIB regulation could ease the practical creation of a level playing field. This could enable manufacturers to reduce auditing efforts in outsourcing this to third party vendors, while ensuring common high standards.</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6D1B7CC6" w14:textId="77777777" w:rsidR="00DE4836" w:rsidRPr="00DE4836" w:rsidRDefault="00DE4836" w:rsidP="00DE4836">
      <w:pPr>
        <w:jc w:val="both"/>
        <w:rPr>
          <w:rFonts w:ascii="Times New Roman" w:hAnsi="Times New Roman"/>
          <w:sz w:val="24"/>
          <w:lang w:val="bg-BG" w:eastAsia="bg-BG"/>
        </w:rPr>
      </w:pPr>
      <w:permStart w:id="418122716" w:edGrp="everyone"/>
      <w:r w:rsidRPr="00DE4836">
        <w:rPr>
          <w:rFonts w:ascii="Calibri" w:hAnsi="Calibri" w:cs="Calibri"/>
          <w:i/>
          <w:iCs/>
          <w:color w:val="000000"/>
          <w:sz w:val="22"/>
          <w:szCs w:val="22"/>
          <w:lang w:val="bg-BG" w:eastAsia="bg-BG"/>
        </w:rPr>
        <w:t>The background idea of the stress scenario is appropriate and in our view a scenario providing PRIIPs outcome under extreme market conditions shall be kept. In our opinion, the stress scenario should however follow the same growth assumptions as the regular scenario simulations. Past performance based information could be included, and this could be extended easily even for Structured Products (SP) in the form of backward looking backtesting using the underlying historical data. Intermediate scenarios could be viable investor information, especially for products with early-exit opportunities. A consistent and reliable approach should however be found for SPs. It is however still unclear how an illustrative scenario would present appropriately future performance scenarios for complex Category 3 products that depend on a large range of observations, e.g. Autocall BRC with memory coupons, TARFs, etc.</w:t>
      </w:r>
    </w:p>
    <w:p w14:paraId="528EB12A" w14:textId="77777777" w:rsidR="00DE4836" w:rsidRPr="00DE4836" w:rsidRDefault="00DE4836" w:rsidP="00DE4836">
      <w:pPr>
        <w:rPr>
          <w:rFonts w:ascii="Times New Roman" w:hAnsi="Times New Roman"/>
          <w:sz w:val="24"/>
          <w:lang w:val="bg-BG" w:eastAsia="bg-BG"/>
        </w:rPr>
      </w:pPr>
    </w:p>
    <w:p w14:paraId="46FB187E" w14:textId="354B27D1" w:rsidR="003E573C" w:rsidRPr="00DE4836" w:rsidRDefault="00DE4836" w:rsidP="00DE4836">
      <w:pPr>
        <w:jc w:val="both"/>
        <w:rPr>
          <w:rFonts w:ascii="Times New Roman" w:hAnsi="Times New Roman"/>
          <w:sz w:val="24"/>
          <w:lang w:val="bg-BG" w:eastAsia="bg-BG"/>
        </w:rPr>
      </w:pPr>
      <w:r w:rsidRPr="00DE4836">
        <w:rPr>
          <w:rFonts w:ascii="Calibri" w:hAnsi="Calibri" w:cs="Calibri"/>
          <w:i/>
          <w:iCs/>
          <w:color w:val="000000"/>
          <w:sz w:val="22"/>
          <w:szCs w:val="22"/>
          <w:lang w:val="bg-BG" w:eastAsia="bg-BG"/>
        </w:rPr>
        <w:t>An approach similar to the Solvency II regulation could be adopted where for complex products an internal model can be submitted to the regulator for approval.</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415D692C" w:rsidR="003E573C" w:rsidRDefault="00DE4836" w:rsidP="003E573C">
      <w:pPr>
        <w:rPr>
          <w:rFonts w:cs="Arial"/>
        </w:rPr>
      </w:pPr>
      <w:permStart w:id="569465455" w:edGrp="everyone"/>
      <w:r>
        <w:rPr>
          <w:rFonts w:ascii="Calibri" w:hAnsi="Calibri" w:cs="Calibri"/>
          <w:i/>
          <w:iCs/>
          <w:color w:val="000000"/>
          <w:sz w:val="22"/>
          <w:szCs w:val="22"/>
        </w:rPr>
        <w:t xml:space="preserve">As </w:t>
      </w:r>
      <w:proofErr w:type="gramStart"/>
      <w:r>
        <w:rPr>
          <w:rFonts w:ascii="Calibri" w:hAnsi="Calibri" w:cs="Calibri"/>
          <w:i/>
          <w:iCs/>
          <w:color w:val="000000"/>
          <w:sz w:val="22"/>
          <w:szCs w:val="22"/>
        </w:rPr>
        <w:t>discussed</w:t>
      </w:r>
      <w:proofErr w:type="gramEnd"/>
      <w:r>
        <w:rPr>
          <w:rFonts w:ascii="Calibri" w:hAnsi="Calibri" w:cs="Calibri"/>
          <w:i/>
          <w:iCs/>
          <w:color w:val="000000"/>
          <w:sz w:val="22"/>
          <w:szCs w:val="22"/>
        </w:rPr>
        <w:t xml:space="preserve"> a fully correct methodology would be a full nested calculation with 10 000 * 10 000 samples for a single intermediate distribution. One of the solutions that have been adopted by certain manufacturers is to use regression methods for producing the intermediate distribution without doing a nested simulation. Given an appropriate regression model is used, this results in stable and reliable results that are close to the real intermediate distribution (based on full-nested scenario). In comparison to the nested simulation approach (even when only a seeding path is chosen), the regression is less computationally expensive and allows ad-hoc calculations. Regression is well understood and used in many valuation models.</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07E5CC88" w:rsidR="003E573C" w:rsidRDefault="00DE4836" w:rsidP="003E573C">
      <w:pPr>
        <w:rPr>
          <w:rFonts w:cs="Arial"/>
        </w:rPr>
      </w:pPr>
      <w:permStart w:id="1713528049" w:edGrp="everyone"/>
      <w:r>
        <w:rPr>
          <w:rFonts w:ascii="Calibri" w:hAnsi="Calibri" w:cs="Calibri"/>
          <w:i/>
          <w:iCs/>
          <w:color w:val="000000"/>
          <w:sz w:val="22"/>
          <w:szCs w:val="22"/>
        </w:rPr>
        <w:t xml:space="preserve">Yes, we consider using the same growth assumptions like for the rest of the scenarios appropriate. The stress scenario could still be kept as an extreme percentile based on increased volatility, but with expected annual return for the </w:t>
      </w:r>
      <w:proofErr w:type="spellStart"/>
      <w:r>
        <w:rPr>
          <w:rFonts w:ascii="Calibri" w:hAnsi="Calibri" w:cs="Calibri"/>
          <w:i/>
          <w:iCs/>
          <w:color w:val="000000"/>
          <w:sz w:val="22"/>
          <w:szCs w:val="22"/>
        </w:rPr>
        <w:t>underlyings</w:t>
      </w:r>
      <w:proofErr w:type="spellEnd"/>
      <w:r>
        <w:rPr>
          <w:rFonts w:ascii="Calibri" w:hAnsi="Calibri" w:cs="Calibri"/>
          <w:i/>
          <w:iCs/>
          <w:color w:val="000000"/>
          <w:sz w:val="22"/>
          <w:szCs w:val="22"/>
        </w:rPr>
        <w:t xml:space="preserve"> should equal the one that is used in the rest of the scenarios.  The difference between 1 year and &gt;1Y stress scenario calculation requirement </w:t>
      </w:r>
      <w:proofErr w:type="gramStart"/>
      <w:r>
        <w:rPr>
          <w:rFonts w:ascii="Calibri" w:hAnsi="Calibri" w:cs="Calibri"/>
          <w:i/>
          <w:iCs/>
          <w:color w:val="000000"/>
          <w:sz w:val="22"/>
          <w:szCs w:val="22"/>
        </w:rPr>
        <w:t>should  in</w:t>
      </w:r>
      <w:proofErr w:type="gramEnd"/>
      <w:r>
        <w:rPr>
          <w:rFonts w:ascii="Calibri" w:hAnsi="Calibri" w:cs="Calibri"/>
          <w:i/>
          <w:iCs/>
          <w:color w:val="000000"/>
          <w:sz w:val="22"/>
          <w:szCs w:val="22"/>
        </w:rPr>
        <w:t xml:space="preserve"> our opinion </w:t>
      </w:r>
      <w:r>
        <w:rPr>
          <w:rFonts w:ascii="Calibri" w:hAnsi="Calibri" w:cs="Calibri"/>
          <w:i/>
          <w:iCs/>
          <w:color w:val="000000"/>
          <w:sz w:val="22"/>
          <w:szCs w:val="22"/>
        </w:rPr>
        <w:lastRenderedPageBreak/>
        <w:t>be avoided, as it results in strange plunges in the stress scenario for products, which are monitored permanently. E.g. if an FX Forward has 1 year 1 day until maturity and is generated next to a product with 1 year until maturity, the difference resulting from the change of the stress volatility calculation is hardly understandable for a retail investor. A methodology could be changed to assume the same stress conditions in both scenarios.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17223411" w:rsidR="003E573C" w:rsidRDefault="00DE4836" w:rsidP="003E573C">
      <w:pPr>
        <w:rPr>
          <w:rFonts w:cs="Arial"/>
        </w:rPr>
      </w:pPr>
      <w:permStart w:id="221670941" w:edGrp="everyone"/>
      <w:r>
        <w:rPr>
          <w:rFonts w:ascii="Calibri" w:hAnsi="Calibri" w:cs="Calibri"/>
          <w:i/>
          <w:iCs/>
          <w:color w:val="000000"/>
          <w:sz w:val="22"/>
          <w:szCs w:val="22"/>
        </w:rPr>
        <w:t xml:space="preserve">Yes, however a clear guidance on methodology for mixed country assets and hybrid baskets shall be provided, e.g. hybrid baskets of </w:t>
      </w:r>
      <w:proofErr w:type="spellStart"/>
      <w:r>
        <w:rPr>
          <w:rFonts w:ascii="Calibri" w:hAnsi="Calibri" w:cs="Calibri"/>
          <w:i/>
          <w:iCs/>
          <w:color w:val="000000"/>
          <w:sz w:val="22"/>
          <w:szCs w:val="22"/>
        </w:rPr>
        <w:t>underlyings</w:t>
      </w:r>
      <w:proofErr w:type="spellEnd"/>
      <w:r>
        <w:rPr>
          <w:rFonts w:ascii="Calibri" w:hAnsi="Calibri" w:cs="Calibri"/>
          <w:i/>
          <w:iCs/>
          <w:color w:val="000000"/>
          <w:sz w:val="22"/>
          <w:szCs w:val="22"/>
        </w:rPr>
        <w:t xml:space="preserve"> from multiple countries.</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651DF800" w:rsidR="003E573C" w:rsidRDefault="00DE4836" w:rsidP="003E573C">
      <w:pPr>
        <w:rPr>
          <w:rFonts w:cs="Arial"/>
        </w:rPr>
      </w:pPr>
      <w:permStart w:id="610013876" w:edGrp="everyone"/>
      <w:r>
        <w:rPr>
          <w:rFonts w:ascii="Calibri" w:hAnsi="Calibri" w:cs="Calibri"/>
          <w:i/>
          <w:iCs/>
          <w:color w:val="000000"/>
          <w:sz w:val="22"/>
          <w:szCs w:val="22"/>
        </w:rPr>
        <w:t xml:space="preserve">Yes, however a clear guidance on methodology for mixed-assets shall be provided, e.g. hybrid </w:t>
      </w:r>
      <w:proofErr w:type="spellStart"/>
      <w:r>
        <w:rPr>
          <w:rFonts w:ascii="Calibri" w:hAnsi="Calibri" w:cs="Calibri"/>
          <w:i/>
          <w:iCs/>
          <w:color w:val="000000"/>
          <w:sz w:val="22"/>
          <w:szCs w:val="22"/>
        </w:rPr>
        <w:t>baskes</w:t>
      </w:r>
      <w:proofErr w:type="spellEnd"/>
      <w:r>
        <w:rPr>
          <w:rFonts w:ascii="Calibri" w:hAnsi="Calibri" w:cs="Calibri"/>
          <w:i/>
          <w:iCs/>
          <w:color w:val="000000"/>
          <w:sz w:val="22"/>
          <w:szCs w:val="22"/>
        </w:rPr>
        <w:t xml:space="preserve"> of </w:t>
      </w:r>
      <w:proofErr w:type="spellStart"/>
      <w:r>
        <w:rPr>
          <w:rFonts w:ascii="Calibri" w:hAnsi="Calibri" w:cs="Calibri"/>
          <w:i/>
          <w:iCs/>
          <w:color w:val="000000"/>
          <w:sz w:val="22"/>
          <w:szCs w:val="22"/>
        </w:rPr>
        <w:t>underlyings</w:t>
      </w:r>
      <w:proofErr w:type="spellEnd"/>
      <w:r>
        <w:rPr>
          <w:rFonts w:ascii="Calibri" w:hAnsi="Calibri" w:cs="Calibri"/>
          <w:i/>
          <w:iCs/>
          <w:color w:val="000000"/>
          <w:sz w:val="22"/>
          <w:szCs w:val="22"/>
        </w:rPr>
        <w:t xml:space="preserve"> for structured products. Also, the requirement should ensure that the required data is available to manufacturers (e.g. from market data providers) without significant additional costs.</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7EC08EBB" w14:textId="77777777" w:rsidR="00DE4836" w:rsidRPr="00DE4836" w:rsidRDefault="00DE4836" w:rsidP="00DE4836">
      <w:pPr>
        <w:jc w:val="both"/>
        <w:rPr>
          <w:rFonts w:ascii="Times New Roman" w:hAnsi="Times New Roman"/>
          <w:sz w:val="24"/>
          <w:lang w:val="bg-BG" w:eastAsia="bg-BG"/>
        </w:rPr>
      </w:pPr>
      <w:permStart w:id="790175202" w:edGrp="everyone"/>
      <w:r w:rsidRPr="00DE4836">
        <w:rPr>
          <w:rFonts w:ascii="Calibri" w:hAnsi="Calibri" w:cs="Calibri"/>
          <w:i/>
          <w:iCs/>
          <w:color w:val="000000"/>
          <w:sz w:val="22"/>
          <w:szCs w:val="22"/>
          <w:lang w:val="bg-BG" w:eastAsia="bg-BG"/>
        </w:rPr>
        <w:t>In terms of delivering data the best option would be to use expected dividend rates from a market provider. </w:t>
      </w:r>
    </w:p>
    <w:p w14:paraId="3C30A5BA" w14:textId="77777777" w:rsidR="00DE4836" w:rsidRPr="00DE4836" w:rsidRDefault="00DE4836" w:rsidP="00DE4836">
      <w:pPr>
        <w:rPr>
          <w:rFonts w:ascii="Times New Roman" w:hAnsi="Times New Roman"/>
          <w:sz w:val="24"/>
          <w:lang w:val="bg-BG" w:eastAsia="bg-BG"/>
        </w:rPr>
      </w:pPr>
    </w:p>
    <w:p w14:paraId="5C070307" w14:textId="7986FF96" w:rsidR="003E573C" w:rsidRPr="00DE4836" w:rsidRDefault="00DE4836" w:rsidP="00DE4836">
      <w:pPr>
        <w:jc w:val="both"/>
        <w:rPr>
          <w:rFonts w:ascii="Times New Roman" w:hAnsi="Times New Roman"/>
          <w:sz w:val="24"/>
          <w:lang w:val="bg-BG" w:eastAsia="bg-BG"/>
        </w:rPr>
      </w:pPr>
      <w:r w:rsidRPr="00DE4836">
        <w:rPr>
          <w:rFonts w:ascii="Calibri" w:hAnsi="Calibri" w:cs="Calibri"/>
          <w:i/>
          <w:iCs/>
          <w:color w:val="000000"/>
          <w:sz w:val="22"/>
          <w:szCs w:val="22"/>
          <w:lang w:val="bg-BG" w:eastAsia="bg-BG"/>
        </w:rPr>
        <w:t>Usually analyst reports also provide valuable information about expected future movements in certain indicators and dividend rates, in particular. The point here would be whether the solution is automated or analyst reports need to be read and relevant figures extracted manually.</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10AB3FEB" w14:textId="77777777" w:rsidR="00DE4836" w:rsidRPr="00DE4836" w:rsidRDefault="00DE4836" w:rsidP="00DE4836">
      <w:pPr>
        <w:jc w:val="both"/>
        <w:rPr>
          <w:rFonts w:ascii="Times New Roman" w:hAnsi="Times New Roman"/>
          <w:sz w:val="24"/>
          <w:lang w:val="bg-BG" w:eastAsia="bg-BG"/>
        </w:rPr>
      </w:pPr>
      <w:permStart w:id="800330460" w:edGrp="everyone"/>
      <w:r w:rsidRPr="00DE4836">
        <w:rPr>
          <w:rFonts w:ascii="Calibri" w:hAnsi="Calibri" w:cs="Calibri"/>
          <w:i/>
          <w:iCs/>
          <w:color w:val="000000"/>
          <w:sz w:val="22"/>
          <w:szCs w:val="22"/>
          <w:lang w:val="bg-BG" w:eastAsia="bg-BG"/>
        </w:rPr>
        <w:t>Both dividend and buyback rates are components comprising risk premium of the asset, as referred to Annex IV, point 13, (b), (i) from the Joint Consultation Paper concerning amendments to the PRIIPs KID.</w:t>
      </w:r>
    </w:p>
    <w:p w14:paraId="14BFD232" w14:textId="77777777" w:rsidR="00DE4836" w:rsidRPr="00DE4836" w:rsidRDefault="00DE4836" w:rsidP="00DE4836">
      <w:pPr>
        <w:rPr>
          <w:rFonts w:ascii="Times New Roman" w:hAnsi="Times New Roman"/>
          <w:sz w:val="24"/>
          <w:lang w:val="bg-BG" w:eastAsia="bg-BG"/>
        </w:rPr>
      </w:pPr>
    </w:p>
    <w:p w14:paraId="23FB69AB" w14:textId="6D3F34BF" w:rsidR="003E573C" w:rsidRPr="00DE4836" w:rsidRDefault="00DE4836" w:rsidP="00DE4836">
      <w:pPr>
        <w:jc w:val="both"/>
        <w:rPr>
          <w:rFonts w:ascii="Times New Roman" w:hAnsi="Times New Roman"/>
          <w:sz w:val="24"/>
          <w:lang w:val="bg-BG" w:eastAsia="bg-BG"/>
        </w:rPr>
      </w:pPr>
      <w:r w:rsidRPr="00DE4836">
        <w:rPr>
          <w:rFonts w:ascii="Calibri" w:hAnsi="Calibri" w:cs="Calibri"/>
          <w:i/>
          <w:iCs/>
          <w:color w:val="000000"/>
          <w:sz w:val="22"/>
          <w:szCs w:val="22"/>
          <w:lang w:val="bg-BG" w:eastAsia="bg-BG"/>
        </w:rPr>
        <w:t>Usually companies disclose their intention to buyback shares in forthcoming periods. In case such information exists, it could supplement available historical data or used as expected levels themselves. The question of an available automated solution for that is relevant, analogous to the one referring to dividend rates.</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lastRenderedPageBreak/>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0759CAAF" w:rsidR="003E573C" w:rsidRDefault="00DE4836" w:rsidP="003E573C">
      <w:pPr>
        <w:rPr>
          <w:rFonts w:cs="Arial"/>
        </w:rPr>
      </w:pPr>
      <w:permStart w:id="1179406826" w:edGrp="everyone"/>
      <w:r>
        <w:rPr>
          <w:rFonts w:ascii="Calibri" w:hAnsi="Calibri" w:cs="Calibri"/>
          <w:i/>
          <w:iCs/>
          <w:color w:val="000000"/>
          <w:sz w:val="22"/>
          <w:szCs w:val="22"/>
        </w:rPr>
        <w:t xml:space="preserve">The general approach makes sense and is a good proposal. Implied volatility information could be in certain cases hard to obtain for certain manufacturers, e.g. due to </w:t>
      </w:r>
      <w:proofErr w:type="gramStart"/>
      <w:r>
        <w:rPr>
          <w:rFonts w:ascii="Calibri" w:hAnsi="Calibri" w:cs="Calibri"/>
          <w:i/>
          <w:iCs/>
          <w:color w:val="000000"/>
          <w:sz w:val="22"/>
          <w:szCs w:val="22"/>
        </w:rPr>
        <w:t>licensing  and</w:t>
      </w:r>
      <w:proofErr w:type="gramEnd"/>
      <w:r>
        <w:rPr>
          <w:rFonts w:ascii="Calibri" w:hAnsi="Calibri" w:cs="Calibri"/>
          <w:i/>
          <w:iCs/>
          <w:color w:val="000000"/>
          <w:sz w:val="22"/>
          <w:szCs w:val="22"/>
        </w:rPr>
        <w:t>/or usage of market data provider.</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2555F36A" w:rsidR="003E573C" w:rsidRDefault="00DE4836" w:rsidP="003E573C">
      <w:pPr>
        <w:rPr>
          <w:rFonts w:cs="Arial"/>
        </w:rPr>
      </w:pPr>
      <w:permStart w:id="1646396141" w:edGrp="everyone"/>
      <w:r>
        <w:rPr>
          <w:rFonts w:ascii="Calibri" w:hAnsi="Calibri" w:cs="Calibri"/>
          <w:i/>
          <w:iCs/>
          <w:color w:val="000000"/>
          <w:sz w:val="22"/>
          <w:szCs w:val="22"/>
        </w:rPr>
        <w:t>The approach of using a 5-year history of daily returns provides a simple and good estimate to base the future variance (excl. money-markets). The approach does not need to be made more complex, as this would have limited practical benefit, while increasing the complexity. It could be noted that for PRIIPs with large holding periods which exceed the length of the historical period, it might be worth to combine the immediate 5-year volatility with a more long-term view on the observed historical volatility (i.e. basing future volatility on two measures - for the immediate 5-year history and e.g. the std of the 1 year volatility for historical period equal to the PRIIPs term). Nevertheless, if such an approach is taken, the regulation shall try to have a consistent definition with a single methodology that applies to all products, without proposing multiple methodologies that are applied depending on the PRIIPs term, type, and/or other features.</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064E9C96" w:rsidR="003E573C" w:rsidRDefault="00DE4836" w:rsidP="003E573C">
      <w:pPr>
        <w:rPr>
          <w:rFonts w:cs="Arial"/>
        </w:rPr>
      </w:pPr>
      <w:permStart w:id="1271138379" w:edGrp="everyone"/>
      <w:r>
        <w:rPr>
          <w:rFonts w:ascii="Calibri" w:hAnsi="Calibri" w:cs="Calibri"/>
          <w:i/>
          <w:iCs/>
          <w:color w:val="000000"/>
          <w:sz w:val="22"/>
          <w:szCs w:val="22"/>
        </w:rPr>
        <w:t>If the approach for probabilistic scenarios is improved with a robust approach as proposed now, the compensatory mechanisms would not be required and would only bring more uncertainty and complexity to the calculation that could hinder the consistent and reliable application of the regulation across different asset classes and manufacturers.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EB0A7CE" w:rsidR="003E573C" w:rsidRDefault="00DE4836" w:rsidP="003E573C">
      <w:pPr>
        <w:rPr>
          <w:rFonts w:cs="Arial"/>
        </w:rPr>
      </w:pPr>
      <w:permStart w:id="739535953" w:edGrp="everyone"/>
      <w:r>
        <w:rPr>
          <w:rFonts w:ascii="Calibri" w:hAnsi="Calibri" w:cs="Calibri"/>
          <w:i/>
          <w:iCs/>
          <w:color w:val="000000"/>
          <w:sz w:val="22"/>
          <w:szCs w:val="22"/>
        </w:rPr>
        <w:t>If compensatory mechanisms are adopted, they should apply consistently for all products, i.e. using the same compensatory mechanism definition regardless of the asset class and product. This will ensure that the KID results are comparable and reduce the risk of inconsistent interpretations and application of the requirements, resulting in erroneous results. This obligation has to be enforced on the manufacturers then.</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lastRenderedPageBreak/>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64EB6CE8" w:rsidR="003E573C" w:rsidRDefault="00DE4836" w:rsidP="003E573C">
      <w:pPr>
        <w:rPr>
          <w:rFonts w:cs="Arial"/>
        </w:rPr>
      </w:pPr>
      <w:permStart w:id="1687822303" w:edGrp="everyone"/>
      <w:r>
        <w:rPr>
          <w:rFonts w:ascii="Calibri" w:hAnsi="Calibri" w:cs="Calibri"/>
          <w:i/>
          <w:iCs/>
          <w:color w:val="000000"/>
          <w:sz w:val="22"/>
          <w:szCs w:val="22"/>
        </w:rPr>
        <w:t>This approach oversimplifies the growth rate assumptions. A more granular definition of the rates should be ensured, taking into account at least the country of the underlying assets. Otherwise, one could just base the simulation on a risk-free simulation, similarly to VAR scenario (the current table suggestion with 5 asset classes does not provide any significant benefit over that).</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6A3B9066" w:rsidR="003E573C" w:rsidRDefault="006C6548" w:rsidP="003E573C">
      <w:pPr>
        <w:rPr>
          <w:rFonts w:cs="Arial"/>
        </w:rPr>
      </w:pPr>
      <w:permStart w:id="669663577" w:edGrp="everyone"/>
      <w:r>
        <w:rPr>
          <w:rFonts w:ascii="Calibri" w:hAnsi="Calibri" w:cs="Calibri"/>
          <w:i/>
          <w:iCs/>
          <w:color w:val="000000"/>
          <w:sz w:val="22"/>
          <w:szCs w:val="22"/>
        </w:rPr>
        <w:t xml:space="preserve">A simple growth rate will oversimplify the representation to the investor and thus introduce the notion of false simplicity. While this might work for plain vanilla products, for most PRIIPs it does not. We believe a key purpose of the regulation is to transport to the retail investor, that products carry risks and returns </w:t>
      </w:r>
      <w:proofErr w:type="spellStart"/>
      <w:r>
        <w:rPr>
          <w:rFonts w:ascii="Calibri" w:hAnsi="Calibri" w:cs="Calibri"/>
          <w:i/>
          <w:iCs/>
          <w:color w:val="000000"/>
          <w:sz w:val="22"/>
          <w:szCs w:val="22"/>
        </w:rPr>
        <w:t>can not</w:t>
      </w:r>
      <w:proofErr w:type="spellEnd"/>
      <w:r>
        <w:rPr>
          <w:rFonts w:ascii="Calibri" w:hAnsi="Calibri" w:cs="Calibri"/>
          <w:i/>
          <w:iCs/>
          <w:color w:val="000000"/>
          <w:sz w:val="22"/>
          <w:szCs w:val="22"/>
        </w:rPr>
        <w:t xml:space="preserve"> be guaranteed.</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822AF6E" w:rsidR="003E573C" w:rsidRDefault="006C6548" w:rsidP="003E573C">
      <w:pPr>
        <w:rPr>
          <w:rFonts w:cs="Arial"/>
        </w:rPr>
      </w:pPr>
      <w:permStart w:id="806708611" w:edGrp="everyone"/>
      <w:r>
        <w:rPr>
          <w:rFonts w:ascii="Calibri" w:hAnsi="Calibri" w:cs="Calibri"/>
          <w:i/>
          <w:iCs/>
          <w:color w:val="000000"/>
          <w:sz w:val="22"/>
          <w:szCs w:val="22"/>
        </w:rPr>
        <w:t>A key point that we consider important is that the regulation should keep the general aim of comparability across different financial products. In that respect, it is important that the proposed technical standards follow consistent methodologies that do not vary based on the PRIIPs type, unless this is absolutely necessary. The probabilistic approach should be defined the same way for all product types and only the underlying growth and volatility assumptions shall differ depending on the underlying asset types. Additionally, if any other methodologies are used (e.g. compensatory mechanisms, past-performance, etc.), those shall be defined as consistently as possible across the full range of PRIIPs product types.</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lastRenderedPageBreak/>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55700C7C" w:rsidR="003E573C" w:rsidRDefault="006C6548" w:rsidP="003E573C">
      <w:pPr>
        <w:rPr>
          <w:rFonts w:cs="Arial"/>
        </w:rPr>
      </w:pPr>
      <w:permStart w:id="1634935588" w:edGrp="everyone"/>
      <w:r>
        <w:rPr>
          <w:rFonts w:ascii="Calibri" w:hAnsi="Calibri" w:cs="Calibri"/>
          <w:i/>
          <w:iCs/>
          <w:color w:val="000000"/>
          <w:sz w:val="22"/>
          <w:szCs w:val="22"/>
        </w:rPr>
        <w:t>A combination of illustrative scenarios and probabilistic scenarios will introduce confusion in an investor, as it is unclear how they relate to each other. Differences in the scenario values would be hard to explain and would not provide better clarity of the risks for a retail investor.</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040F436E" w:rsidR="003E573C" w:rsidRDefault="006C6548" w:rsidP="003E573C">
      <w:pPr>
        <w:rPr>
          <w:rFonts w:cs="Arial"/>
        </w:rPr>
      </w:pPr>
      <w:permStart w:id="872961277" w:edGrp="everyone"/>
      <w:r>
        <w:rPr>
          <w:rFonts w:ascii="Calibri" w:hAnsi="Calibri" w:cs="Calibri"/>
          <w:i/>
          <w:iCs/>
          <w:color w:val="000000"/>
          <w:sz w:val="22"/>
          <w:szCs w:val="22"/>
        </w:rPr>
        <w:t>While illustrative scenarios would indeed simplify and naturally eliminate the concerns regarding the probabilistic scenarios, they will introduce a level of freedom that completely contradicts the core idea of the regulation (namely to assess and disclose the risk of the PRIIPs). Illustrative scenarios will be fully at the discretion of the manufacturers. From a practical perspective it is impossible to ensure consistent rules for the generation of those scenarios. In reality the disclosed scenarios would be chosen and calculated rather in respect to the features of the products than to the performance and risk in the underlying assets. This could easily result in illustrative scenarios which appear more positive for complex higher risk products than for conservative smaller risk products. It is also unclear how complex PRIIPs with multiple underlying observations could appropriately use illustrative scenarios for risk presentation.</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19B1C3EA" w:rsidR="003E573C" w:rsidRDefault="006C6548" w:rsidP="003E573C">
      <w:pPr>
        <w:rPr>
          <w:rFonts w:cs="Arial"/>
        </w:rPr>
      </w:pPr>
      <w:permStart w:id="374105505" w:edGrp="everyone"/>
      <w:r>
        <w:rPr>
          <w:rFonts w:ascii="Calibri" w:hAnsi="Calibri" w:cs="Calibri"/>
          <w:i/>
          <w:iCs/>
          <w:color w:val="000000"/>
          <w:sz w:val="22"/>
          <w:szCs w:val="22"/>
        </w:rPr>
        <w:t xml:space="preserve">As discussed in the previous question, we do not consider the approach (in the form presented in the PRIIPs performance scenario options for consumer testing) beneficial to solving the concerns related to the probabilistic scenarios. The approach eliminates the concerns by replacing them with a less representative and </w:t>
      </w:r>
      <w:proofErr w:type="gramStart"/>
      <w:r>
        <w:rPr>
          <w:rFonts w:ascii="Calibri" w:hAnsi="Calibri" w:cs="Calibri"/>
          <w:i/>
          <w:iCs/>
          <w:color w:val="000000"/>
          <w:sz w:val="22"/>
          <w:szCs w:val="22"/>
        </w:rPr>
        <w:t>assumption based</w:t>
      </w:r>
      <w:proofErr w:type="gramEnd"/>
      <w:r>
        <w:rPr>
          <w:rFonts w:ascii="Calibri" w:hAnsi="Calibri" w:cs="Calibri"/>
          <w:i/>
          <w:iCs/>
          <w:color w:val="000000"/>
          <w:sz w:val="22"/>
          <w:szCs w:val="22"/>
        </w:rPr>
        <w:t xml:space="preserve"> approach that could be completely disjointed from the underlying market risk. The results will not provide a basis for comparison across different PRIIPs. As an example consider a conditional coupon BRC on a basket of equity </w:t>
      </w:r>
      <w:proofErr w:type="spellStart"/>
      <w:r>
        <w:rPr>
          <w:rFonts w:ascii="Calibri" w:hAnsi="Calibri" w:cs="Calibri"/>
          <w:i/>
          <w:iCs/>
          <w:color w:val="000000"/>
          <w:sz w:val="22"/>
          <w:szCs w:val="22"/>
        </w:rPr>
        <w:t>underlyings</w:t>
      </w:r>
      <w:proofErr w:type="spellEnd"/>
      <w:r>
        <w:rPr>
          <w:rFonts w:ascii="Calibri" w:hAnsi="Calibri" w:cs="Calibri"/>
          <w:i/>
          <w:iCs/>
          <w:color w:val="000000"/>
          <w:sz w:val="22"/>
          <w:szCs w:val="22"/>
        </w:rPr>
        <w:t xml:space="preserve"> from a manufacturer A </w:t>
      </w:r>
      <w:proofErr w:type="gramStart"/>
      <w:r>
        <w:rPr>
          <w:rFonts w:ascii="Calibri" w:hAnsi="Calibri" w:cs="Calibri"/>
          <w:i/>
          <w:iCs/>
          <w:color w:val="000000"/>
          <w:sz w:val="22"/>
          <w:szCs w:val="22"/>
        </w:rPr>
        <w:t>and  similar</w:t>
      </w:r>
      <w:proofErr w:type="gramEnd"/>
      <w:r>
        <w:rPr>
          <w:rFonts w:ascii="Calibri" w:hAnsi="Calibri" w:cs="Calibri"/>
          <w:i/>
          <w:iCs/>
          <w:color w:val="000000"/>
          <w:sz w:val="22"/>
          <w:szCs w:val="22"/>
        </w:rPr>
        <w:t xml:space="preserve"> BRC </w:t>
      </w:r>
      <w:r>
        <w:rPr>
          <w:rFonts w:ascii="Calibri" w:hAnsi="Calibri" w:cs="Calibri"/>
          <w:i/>
          <w:iCs/>
          <w:color w:val="000000"/>
          <w:sz w:val="22"/>
          <w:szCs w:val="22"/>
        </w:rPr>
        <w:lastRenderedPageBreak/>
        <w:t>with a guaranteed coupon for the same basket from manufacturer B. The illustrative scenarios of the respective KIDs would hardly be basis for comparison of the risk in the PRIIP. This is not consistent with the key goals of the PRIIPs Regulation.</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49073D00" w:rsidR="003E573C" w:rsidRDefault="006C6548" w:rsidP="003E573C">
      <w:pPr>
        <w:rPr>
          <w:rFonts w:cs="Arial"/>
        </w:rPr>
      </w:pPr>
      <w:permStart w:id="624894902" w:edGrp="everyone"/>
      <w:r>
        <w:rPr>
          <w:rFonts w:ascii="Calibri" w:hAnsi="Calibri" w:cs="Calibri"/>
          <w:i/>
          <w:iCs/>
          <w:color w:val="000000"/>
          <w:sz w:val="22"/>
          <w:szCs w:val="22"/>
        </w:rPr>
        <w:t xml:space="preserve">The inclusion of past performance to the KID would be relevant and helpful to a retail investor. In many respects retail investors take their investment decisions based on the past performance of the market rather than probabilistic forward-looking models. Thus, we consider such information would make the KID an important and effective document for retail investors, especially if past performance accompanies the probabilistic </w:t>
      </w:r>
      <w:proofErr w:type="gramStart"/>
      <w:r>
        <w:rPr>
          <w:rFonts w:ascii="Calibri" w:hAnsi="Calibri" w:cs="Calibri"/>
          <w:i/>
          <w:iCs/>
          <w:color w:val="000000"/>
          <w:sz w:val="22"/>
          <w:szCs w:val="22"/>
        </w:rPr>
        <w:t>forward looking</w:t>
      </w:r>
      <w:proofErr w:type="gramEnd"/>
      <w:r>
        <w:rPr>
          <w:rFonts w:ascii="Calibri" w:hAnsi="Calibri" w:cs="Calibri"/>
          <w:i/>
          <w:iCs/>
          <w:color w:val="000000"/>
          <w:sz w:val="22"/>
          <w:szCs w:val="22"/>
        </w:rPr>
        <w:t xml:space="preserve"> scenarios.  In our view, however, past performance should not be limited to a particular PRIIPs type, and could be easily applied for non-linear PRIIPs in the form of </w:t>
      </w:r>
      <w:proofErr w:type="spellStart"/>
      <w:r>
        <w:rPr>
          <w:rFonts w:ascii="Calibri" w:hAnsi="Calibri" w:cs="Calibri"/>
          <w:i/>
          <w:iCs/>
          <w:color w:val="000000"/>
          <w:sz w:val="22"/>
          <w:szCs w:val="22"/>
        </w:rPr>
        <w:t>backtesting</w:t>
      </w:r>
      <w:proofErr w:type="spellEnd"/>
      <w:r>
        <w:rPr>
          <w:rFonts w:ascii="Calibri" w:hAnsi="Calibri" w:cs="Calibri"/>
          <w:i/>
          <w:iCs/>
          <w:color w:val="000000"/>
          <w:sz w:val="22"/>
          <w:szCs w:val="22"/>
        </w:rPr>
        <w:t xml:space="preserve"> based on historically observed underlying time series. While an investor could easily check past performance of a linear product, providing a </w:t>
      </w:r>
      <w:proofErr w:type="spellStart"/>
      <w:r>
        <w:rPr>
          <w:rFonts w:ascii="Calibri" w:hAnsi="Calibri" w:cs="Calibri"/>
          <w:i/>
          <w:iCs/>
          <w:color w:val="000000"/>
          <w:sz w:val="22"/>
          <w:szCs w:val="22"/>
        </w:rPr>
        <w:t>backtesting</w:t>
      </w:r>
      <w:proofErr w:type="spellEnd"/>
      <w:r>
        <w:rPr>
          <w:rFonts w:ascii="Calibri" w:hAnsi="Calibri" w:cs="Calibri"/>
          <w:i/>
          <w:iCs/>
          <w:color w:val="000000"/>
          <w:sz w:val="22"/>
          <w:szCs w:val="22"/>
        </w:rPr>
        <w:t xml:space="preserve"> result for a complex structured product could provide transparent and effective information to the retail investor. Making this information transparent over the KID would enable investors to better understand and compare PRIIPs from different manufacturers. Furthermore, most manufacturers are already performing such backward-looking validations as part of their product governance approval process.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F14D60" w14:textId="77777777" w:rsidR="006C6548" w:rsidRPr="006C6548" w:rsidRDefault="006C6548" w:rsidP="006C6548">
      <w:pPr>
        <w:jc w:val="both"/>
        <w:rPr>
          <w:rFonts w:ascii="Times New Roman" w:hAnsi="Times New Roman"/>
          <w:sz w:val="24"/>
          <w:lang w:val="bg-BG" w:eastAsia="bg-BG"/>
        </w:rPr>
      </w:pPr>
      <w:permStart w:id="1007688109" w:edGrp="everyone"/>
      <w:r w:rsidRPr="006C6548">
        <w:rPr>
          <w:rFonts w:ascii="Calibri" w:hAnsi="Calibri" w:cs="Calibri"/>
          <w:i/>
          <w:iCs/>
          <w:color w:val="000000"/>
          <w:sz w:val="22"/>
          <w:szCs w:val="22"/>
          <w:lang w:val="bg-BG" w:eastAsia="bg-BG"/>
        </w:rPr>
        <w:t>We believe that past performance information would make the KID more transparent and retail investors will be able to use easily understandable information as a base for their investment decisions. In that sense, we see an amendment on Article 6(4) as a necessity for the introduction of past performance if material impact on the KID length is envisioned. </w:t>
      </w:r>
    </w:p>
    <w:p w14:paraId="54322B26" w14:textId="77777777" w:rsidR="006C6548" w:rsidRPr="006C6548" w:rsidRDefault="006C6548" w:rsidP="006C6548">
      <w:pPr>
        <w:rPr>
          <w:rFonts w:ascii="Times New Roman" w:hAnsi="Times New Roman"/>
          <w:sz w:val="24"/>
          <w:lang w:val="bg-BG" w:eastAsia="bg-BG"/>
        </w:rPr>
      </w:pPr>
    </w:p>
    <w:p w14:paraId="50AB8F8B" w14:textId="16CC2077" w:rsidR="003E573C" w:rsidRPr="006C6548" w:rsidRDefault="006C6548" w:rsidP="006C6548">
      <w:pPr>
        <w:jc w:val="both"/>
        <w:rPr>
          <w:rFonts w:ascii="Times New Roman" w:hAnsi="Times New Roman"/>
          <w:sz w:val="24"/>
          <w:lang w:val="bg-BG" w:eastAsia="bg-BG"/>
        </w:rPr>
      </w:pPr>
      <w:r w:rsidRPr="006C6548">
        <w:rPr>
          <w:rFonts w:ascii="Calibri" w:hAnsi="Calibri" w:cs="Calibri"/>
          <w:i/>
          <w:iCs/>
          <w:color w:val="000000"/>
          <w:sz w:val="22"/>
          <w:szCs w:val="22"/>
          <w:lang w:val="bg-BG" w:eastAsia="bg-BG"/>
        </w:rPr>
        <w:t xml:space="preserve">Assuming such a regulatory change could be made, it would make sense to still keep consistent KID information across all PRIIPs types, and provide past performance information not just  for UCITS, but also e.g. structured products and OTC in the form of backtesting. </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47FADAA7" w:rsidR="003E573C" w:rsidRDefault="008170F9" w:rsidP="003E573C">
      <w:pPr>
        <w:rPr>
          <w:rFonts w:cs="Arial"/>
        </w:rPr>
      </w:pPr>
      <w:permStart w:id="1152679739" w:edGrp="everyone"/>
      <w:r>
        <w:rPr>
          <w:rFonts w:ascii="Calibri" w:hAnsi="Calibri" w:cs="Calibri"/>
          <w:i/>
          <w:iCs/>
          <w:color w:val="000000"/>
          <w:sz w:val="22"/>
          <w:szCs w:val="22"/>
        </w:rPr>
        <w:t xml:space="preserve">The approach for the presentation of past performance should be standardized to enable comparison and clear understanding of the KID document across different PRIIPs types. A simplified approach with past performance on a per year basis, e.g. (minimum, maximum, average) would in our view enable investors to easily and clearly understand past performance for their products. The average across increasing periods seems </w:t>
      </w:r>
      <w:proofErr w:type="gramStart"/>
      <w:r>
        <w:rPr>
          <w:rFonts w:ascii="Calibri" w:hAnsi="Calibri" w:cs="Calibri"/>
          <w:i/>
          <w:iCs/>
          <w:color w:val="000000"/>
          <w:sz w:val="22"/>
          <w:szCs w:val="22"/>
        </w:rPr>
        <w:t>less easier</w:t>
      </w:r>
      <w:proofErr w:type="gramEnd"/>
      <w:r>
        <w:rPr>
          <w:rFonts w:ascii="Calibri" w:hAnsi="Calibri" w:cs="Calibri"/>
          <w:i/>
          <w:iCs/>
          <w:color w:val="000000"/>
          <w:sz w:val="22"/>
          <w:szCs w:val="22"/>
        </w:rPr>
        <w:t xml:space="preserve"> to understand and without significant information to a retail investor.</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lastRenderedPageBreak/>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174BB55" w:rsidR="003E573C" w:rsidRDefault="008170F9" w:rsidP="003E573C">
      <w:pPr>
        <w:rPr>
          <w:rFonts w:cs="Arial"/>
        </w:rPr>
      </w:pPr>
      <w:permStart w:id="503522783" w:edGrp="everyone"/>
      <w:r>
        <w:rPr>
          <w:rFonts w:ascii="Calibri" w:hAnsi="Calibri" w:cs="Calibri"/>
          <w:i/>
          <w:iCs/>
          <w:color w:val="000000"/>
          <w:sz w:val="22"/>
          <w:szCs w:val="22"/>
        </w:rPr>
        <w:t xml:space="preserve">Yes, it would make sense to have narratives explaining the historical periods, which are the bases for those two, especially if they do not match. A standard disclaimer in addition that past performance is not a guarantee for future performance would </w:t>
      </w:r>
      <w:proofErr w:type="gramStart"/>
      <w:r>
        <w:rPr>
          <w:rFonts w:ascii="Calibri" w:hAnsi="Calibri" w:cs="Calibri"/>
          <w:i/>
          <w:iCs/>
          <w:color w:val="000000"/>
          <w:sz w:val="22"/>
          <w:szCs w:val="22"/>
        </w:rPr>
        <w:t>also  be</w:t>
      </w:r>
      <w:proofErr w:type="gramEnd"/>
      <w:r>
        <w:rPr>
          <w:rFonts w:ascii="Calibri" w:hAnsi="Calibri" w:cs="Calibri"/>
          <w:i/>
          <w:iCs/>
          <w:color w:val="000000"/>
          <w:sz w:val="22"/>
          <w:szCs w:val="22"/>
        </w:rPr>
        <w:t xml:space="preserve"> helpful.</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421312BD" w:rsidR="003E573C" w:rsidRDefault="008170F9" w:rsidP="003E573C">
      <w:pPr>
        <w:rPr>
          <w:rFonts w:cs="Arial"/>
        </w:rPr>
      </w:pPr>
      <w:permStart w:id="1802452064" w:edGrp="everyone"/>
      <w:r>
        <w:rPr>
          <w:rFonts w:ascii="Calibri" w:hAnsi="Calibri" w:cs="Calibri"/>
          <w:i/>
          <w:iCs/>
          <w:color w:val="000000"/>
          <w:sz w:val="22"/>
          <w:szCs w:val="22"/>
        </w:rPr>
        <w:t xml:space="preserve">This approach would possibly increase comparability for some </w:t>
      </w:r>
      <w:proofErr w:type="gramStart"/>
      <w:r>
        <w:rPr>
          <w:rFonts w:ascii="Calibri" w:hAnsi="Calibri" w:cs="Calibri"/>
          <w:i/>
          <w:iCs/>
          <w:color w:val="000000"/>
          <w:sz w:val="22"/>
          <w:szCs w:val="22"/>
        </w:rPr>
        <w:t>open end</w:t>
      </w:r>
      <w:proofErr w:type="gramEnd"/>
      <w:r>
        <w:rPr>
          <w:rFonts w:ascii="Calibri" w:hAnsi="Calibri" w:cs="Calibri"/>
          <w:i/>
          <w:iCs/>
          <w:color w:val="000000"/>
          <w:sz w:val="22"/>
          <w:szCs w:val="22"/>
        </w:rPr>
        <w:t xml:space="preserve"> products with large RHPs, but would be less helpful for PRIIPs with fixed RHP, whose KIDs are regularly updated (i.e. RHP on the KID shrinks over time). In such a case, if a product has an RHP of 5 years and 1 month, and the cost over time shall be disclosed for 1-year and 5-year intermediate periods, the latter won’t bring appropriate information to the retail investor. However, in any case, our belief is that if intermediate periods should stay for performance scenarios, the period lengths for the cost over time and the performance scenarios should match one another.</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5C464D15" w:rsidR="003E573C" w:rsidRDefault="008170F9" w:rsidP="003E573C">
      <w:pPr>
        <w:rPr>
          <w:rFonts w:cs="Arial"/>
        </w:rPr>
      </w:pPr>
      <w:permStart w:id="1498437863" w:edGrp="everyone"/>
      <w:r>
        <w:rPr>
          <w:rFonts w:ascii="Calibri" w:hAnsi="Calibri" w:cs="Calibri"/>
          <w:i/>
          <w:iCs/>
          <w:color w:val="000000"/>
          <w:sz w:val="22"/>
          <w:szCs w:val="22"/>
        </w:rPr>
        <w:t>From a retail investor perspective, it might be more helpful to understand how exit penalties or entry costs will affect their investment when an investor decides to terminate their product early. If the fixed intermediate period is close to the RHP or sufficiently large to exceed the early exit cost penalties period, the impact of both of those costs will be diminished.</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19B13D21" w:rsidR="003E573C" w:rsidRDefault="008170F9" w:rsidP="003E573C">
      <w:pPr>
        <w:rPr>
          <w:rFonts w:cs="Arial"/>
        </w:rPr>
      </w:pPr>
      <w:permStart w:id="621350576" w:edGrp="everyone"/>
      <w:r>
        <w:rPr>
          <w:rFonts w:ascii="Calibri" w:hAnsi="Calibri" w:cs="Calibri"/>
          <w:i/>
          <w:iCs/>
          <w:color w:val="000000"/>
          <w:sz w:val="22"/>
          <w:szCs w:val="22"/>
        </w:rPr>
        <w:t xml:space="preserve">An annual average cost figure might indeed make it visually easier </w:t>
      </w:r>
      <w:proofErr w:type="gramStart"/>
      <w:r>
        <w:rPr>
          <w:rFonts w:ascii="Calibri" w:hAnsi="Calibri" w:cs="Calibri"/>
          <w:i/>
          <w:iCs/>
          <w:color w:val="000000"/>
          <w:sz w:val="22"/>
          <w:szCs w:val="22"/>
        </w:rPr>
        <w:t>for  a</w:t>
      </w:r>
      <w:proofErr w:type="gramEnd"/>
      <w:r>
        <w:rPr>
          <w:rFonts w:ascii="Calibri" w:hAnsi="Calibri" w:cs="Calibri"/>
          <w:i/>
          <w:iCs/>
          <w:color w:val="000000"/>
          <w:sz w:val="22"/>
          <w:szCs w:val="22"/>
        </w:rPr>
        <w:t xml:space="preserve"> retail investor to understand the monetary cost values. At best, it could be included together with the total cost figure, but the requirement should be defined carefully, given the KID 3-page length requirement does not change.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3968F4A6" w:rsidR="003E573C" w:rsidRDefault="008170F9" w:rsidP="003E573C">
      <w:pPr>
        <w:rPr>
          <w:rFonts w:cs="Arial"/>
        </w:rPr>
      </w:pPr>
      <w:permStart w:id="354879508" w:edGrp="everyone"/>
      <w:r>
        <w:rPr>
          <w:rFonts w:ascii="Calibri" w:hAnsi="Calibri" w:cs="Calibri"/>
          <w:i/>
          <w:iCs/>
          <w:color w:val="000000"/>
          <w:sz w:val="22"/>
          <w:szCs w:val="22"/>
        </w:rPr>
        <w:t>There will be no added value in terms of comprehensibility. The investment amount is already a round number of 10 000, so an investor can easily understand and compare the total cost amount to the investment amount. A percentage cost figure based on investment amount would only add further figures on the KID, making it harder for a retail investor to locate and understand the information.</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3C7BF634" w:rsidR="003E573C" w:rsidRDefault="008170F9" w:rsidP="003E573C">
      <w:pPr>
        <w:rPr>
          <w:rFonts w:cs="Arial"/>
        </w:rPr>
      </w:pPr>
      <w:permStart w:id="777852593" w:edGrp="everyone"/>
      <w:r>
        <w:rPr>
          <w:rFonts w:ascii="Calibri" w:hAnsi="Calibri" w:cs="Calibri"/>
          <w:i/>
          <w:iCs/>
          <w:color w:val="000000"/>
          <w:sz w:val="22"/>
          <w:szCs w:val="22"/>
        </w:rPr>
        <w:lastRenderedPageBreak/>
        <w:t>Yes, removing the cost composition RIYs and replacing them with monetary amounts would be a simplified approach that is easy to understand by retail investors, while still allowing them to compare the values at least to a limited extent. In our experience, individual RIYs are not fully understood and investors are confused by the fact that they do not match the contractually agreed percentages. A much more valuable RIY information is the total impact of the cost on the return of the investor in Table 1, so table 2 should only provide better overview of the nature of the cost, allowing better comparability.</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00B31B63" w:rsidR="003E573C" w:rsidRDefault="008170F9" w:rsidP="003E573C">
      <w:pPr>
        <w:rPr>
          <w:rFonts w:cs="Arial"/>
        </w:rPr>
      </w:pPr>
      <w:permStart w:id="1928422042" w:edGrp="everyone"/>
      <w:r>
        <w:rPr>
          <w:rFonts w:ascii="Calibri" w:hAnsi="Calibri" w:cs="Calibri"/>
          <w:i/>
          <w:iCs/>
          <w:color w:val="000000"/>
          <w:sz w:val="22"/>
          <w:szCs w:val="22"/>
        </w:rPr>
        <w:t>Option 3 is preferred approach.</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5FEFEF0D" w:rsidR="003E573C" w:rsidRDefault="008170F9" w:rsidP="003E573C">
      <w:pPr>
        <w:rPr>
          <w:rFonts w:cs="Arial"/>
        </w:rPr>
      </w:pPr>
      <w:permStart w:id="1223957116" w:edGrp="everyone"/>
      <w:r>
        <w:rPr>
          <w:rFonts w:ascii="Calibri" w:hAnsi="Calibri" w:cs="Calibri"/>
          <w:i/>
          <w:iCs/>
          <w:color w:val="000000"/>
          <w:sz w:val="22"/>
          <w:szCs w:val="22"/>
        </w:rPr>
        <w:t xml:space="preserve">We agree that some confusion is present regarding the fact that the cost composition table discloses the costs only for the RHP period. Even though there is a narrative explaining this, it is hard for investors to understand that the figures in Table 2 are only in correspondence to the last (RHP) column in Table 1. It is important to make it easier for an investor to identify this correspondence, either visually or with </w:t>
      </w:r>
      <w:proofErr w:type="gramStart"/>
      <w:r>
        <w:rPr>
          <w:rFonts w:ascii="Calibri" w:hAnsi="Calibri" w:cs="Calibri"/>
          <w:i/>
          <w:iCs/>
          <w:color w:val="000000"/>
          <w:sz w:val="22"/>
          <w:szCs w:val="22"/>
        </w:rPr>
        <w:t>an  additional</w:t>
      </w:r>
      <w:proofErr w:type="gramEnd"/>
      <w:r>
        <w:rPr>
          <w:rFonts w:ascii="Calibri" w:hAnsi="Calibri" w:cs="Calibri"/>
          <w:i/>
          <w:iCs/>
          <w:color w:val="000000"/>
          <w:sz w:val="22"/>
          <w:szCs w:val="22"/>
        </w:rPr>
        <w:t xml:space="preserve"> narrative text. If the latter approach is taken, in our opinion the text should be part of the table / column header in Table 2, such that it is not accidentally missed by a retail investor when reviewing the KID.</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 xml:space="preserve">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w:t>
      </w:r>
      <w:r w:rsidRPr="00763760">
        <w:lastRenderedPageBreak/>
        <w:t>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1E67BAC4" w:rsidR="003E573C" w:rsidRDefault="008170F9" w:rsidP="003E573C">
      <w:pPr>
        <w:rPr>
          <w:rFonts w:cs="Arial"/>
        </w:rPr>
      </w:pPr>
      <w:permStart w:id="700270871" w:edGrp="everyone"/>
      <w:r>
        <w:rPr>
          <w:rFonts w:ascii="Calibri" w:hAnsi="Calibri" w:cs="Calibri"/>
          <w:i/>
          <w:iCs/>
          <w:color w:val="000000"/>
          <w:sz w:val="22"/>
          <w:szCs w:val="22"/>
        </w:rPr>
        <w:t xml:space="preserve">Digital services and </w:t>
      </w:r>
      <w:proofErr w:type="spellStart"/>
      <w:r>
        <w:rPr>
          <w:rFonts w:ascii="Calibri" w:hAnsi="Calibri" w:cs="Calibri"/>
          <w:i/>
          <w:iCs/>
          <w:color w:val="000000"/>
          <w:sz w:val="22"/>
          <w:szCs w:val="22"/>
        </w:rPr>
        <w:t>regtech</w:t>
      </w:r>
      <w:proofErr w:type="spellEnd"/>
      <w:r>
        <w:rPr>
          <w:rFonts w:ascii="Calibri" w:hAnsi="Calibri" w:cs="Calibri"/>
          <w:i/>
          <w:iCs/>
          <w:color w:val="000000"/>
          <w:sz w:val="22"/>
          <w:szCs w:val="22"/>
        </w:rPr>
        <w:t xml:space="preserve"> automation would allow manufacturers to continue to comply even when there is a requirement leading to a coexistence of PRIIPs KIDs and UCITS KII documents. </w:t>
      </w:r>
      <w:proofErr w:type="gramStart"/>
      <w:r>
        <w:rPr>
          <w:rFonts w:ascii="Calibri" w:hAnsi="Calibri" w:cs="Calibri"/>
          <w:i/>
          <w:iCs/>
          <w:color w:val="000000"/>
          <w:sz w:val="22"/>
          <w:szCs w:val="22"/>
        </w:rPr>
        <w:t>Nevertheless,  it</w:t>
      </w:r>
      <w:proofErr w:type="gramEnd"/>
      <w:r>
        <w:rPr>
          <w:rFonts w:ascii="Calibri" w:hAnsi="Calibri" w:cs="Calibri"/>
          <w:i/>
          <w:iCs/>
          <w:color w:val="000000"/>
          <w:sz w:val="22"/>
          <w:szCs w:val="22"/>
        </w:rPr>
        <w:t xml:space="preserve"> would be beneficial to all stakeholders if the regulatory requirements are consolidated and unified across the different regulations and enable simpler unification not only across the EU, but also across different jurisdictions (e.g. Swiss </w:t>
      </w:r>
      <w:proofErr w:type="spellStart"/>
      <w:r>
        <w:rPr>
          <w:rFonts w:ascii="Calibri" w:hAnsi="Calibri" w:cs="Calibri"/>
          <w:i/>
          <w:iCs/>
          <w:color w:val="000000"/>
          <w:sz w:val="22"/>
          <w:szCs w:val="22"/>
        </w:rPr>
        <w:t>FinSA</w:t>
      </w:r>
      <w:proofErr w:type="spellEnd"/>
      <w:r>
        <w:rPr>
          <w:rFonts w:ascii="Calibri" w:hAnsi="Calibri" w:cs="Calibri"/>
          <w:i/>
          <w:iCs/>
          <w:color w:val="000000"/>
          <w:sz w:val="22"/>
          <w:szCs w:val="22"/>
        </w:rPr>
        <w:t>). In that respect, we are of the opinion that EU regulations should align the documentation requirements. If professional investors would need to receive an information document under the UCITS regulation, it would be of benefit if the PRIIP KID shall be recognised as equivalent replacement under the regulation.</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2730C0A3" w:rsidR="003E573C" w:rsidRDefault="00D70FB6" w:rsidP="003E573C">
      <w:pPr>
        <w:rPr>
          <w:rFonts w:cs="Arial"/>
        </w:rPr>
      </w:pPr>
      <w:permStart w:id="803234900" w:edGrp="everyone"/>
      <w:r>
        <w:rPr>
          <w:rFonts w:ascii="Calibri" w:hAnsi="Calibri" w:cs="Calibri"/>
          <w:i/>
          <w:iCs/>
          <w:color w:val="000000"/>
          <w:sz w:val="22"/>
          <w:szCs w:val="22"/>
        </w:rPr>
        <w:t xml:space="preserve">We agree that a KID should be provided once at the beginning of the savings plan and later in case the customer makes changes to his subscription. We are of the opinion that a PRIIP KID should be sent to existing customers once there is an update in the KID, hence Article 4 should be restricted only to Management Company of UCITS or AIFs. In terms of consistency, the best option is to send a KID over all product </w:t>
      </w:r>
      <w:proofErr w:type="gramStart"/>
      <w:r>
        <w:rPr>
          <w:rFonts w:ascii="Calibri" w:hAnsi="Calibri" w:cs="Calibri"/>
          <w:i/>
          <w:iCs/>
          <w:color w:val="000000"/>
          <w:sz w:val="22"/>
          <w:szCs w:val="22"/>
        </w:rPr>
        <w:t>types  as</w:t>
      </w:r>
      <w:proofErr w:type="gramEnd"/>
      <w:r>
        <w:rPr>
          <w:rFonts w:ascii="Calibri" w:hAnsi="Calibri" w:cs="Calibri"/>
          <w:i/>
          <w:iCs/>
          <w:color w:val="000000"/>
          <w:sz w:val="22"/>
          <w:szCs w:val="22"/>
        </w:rPr>
        <w:t xml:space="preserve"> far as there is an information update.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w:t>
      </w:r>
      <w:bookmarkStart w:id="2" w:name="_GoBack"/>
      <w:bookmarkEnd w:id="2"/>
      <w:r w:rsidRPr="009A6D14">
        <w:t>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2B9BB60D" w:rsidR="003E573C" w:rsidRDefault="008170F9" w:rsidP="003E573C">
      <w:pPr>
        <w:rPr>
          <w:rFonts w:cs="Arial"/>
        </w:rPr>
      </w:pPr>
      <w:permStart w:id="1857164361" w:edGrp="everyone"/>
      <w:r>
        <w:rPr>
          <w:rFonts w:ascii="Calibri" w:hAnsi="Calibri" w:cs="Calibri"/>
          <w:i/>
          <w:iCs/>
          <w:color w:val="000000"/>
          <w:sz w:val="22"/>
          <w:szCs w:val="22"/>
        </w:rPr>
        <w:t>Digital solutions enable option specific KID to be offered for the full domain of combinations. This would prevent situations in which an investor is interested in a KID for a particular combination, for which no KID is provided. Assuming a very large domain of combinations are present, the ad-hoc generation process (i.e. on demand over a web page) could ensure that a manufacturer only needs to produce the combinations, for which an investor is interested based on the latest market and reference data available (i.e. up to date KID).</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6D81560F" w:rsidR="003E573C" w:rsidRDefault="008170F9" w:rsidP="003E573C">
      <w:pPr>
        <w:rPr>
          <w:rFonts w:cs="Arial"/>
        </w:rPr>
      </w:pPr>
      <w:permStart w:id="1989770724" w:edGrp="everyone"/>
      <w:r>
        <w:rPr>
          <w:rFonts w:ascii="Calibri" w:hAnsi="Calibri" w:cs="Calibri"/>
          <w:i/>
          <w:iCs/>
          <w:color w:val="000000"/>
          <w:sz w:val="22"/>
          <w:szCs w:val="22"/>
        </w:rPr>
        <w:t>A problem will arise that investors will ultimately be misinformed for any other combination than the four ‘most-relevant’ options, which were preselected by the manufacturer. The investor could then be confused and misinterpret the difference between the four full-information KIDs and a KID that is specific to an underlying investment option (e.g. a fund KID provided to the retail investor together with a MOP KID).</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55045E53" w:rsidR="003E573C" w:rsidRDefault="008170F9" w:rsidP="003E573C">
      <w:pPr>
        <w:rPr>
          <w:rFonts w:cs="Arial"/>
        </w:rPr>
      </w:pPr>
      <w:permStart w:id="1417153881" w:edGrp="everyone"/>
      <w:r>
        <w:rPr>
          <w:rFonts w:ascii="Calibri" w:hAnsi="Calibri" w:cs="Calibri"/>
          <w:i/>
          <w:iCs/>
          <w:color w:val="000000"/>
          <w:sz w:val="22"/>
          <w:szCs w:val="22"/>
        </w:rPr>
        <w:t>Yes, as described in 51.</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40F38414" w:rsidR="003E573C" w:rsidRDefault="008170F9" w:rsidP="003E573C">
      <w:pPr>
        <w:rPr>
          <w:rFonts w:cs="Arial"/>
        </w:rPr>
      </w:pPr>
      <w:permStart w:id="481841044" w:edGrp="everyone"/>
      <w:r>
        <w:rPr>
          <w:rFonts w:ascii="Calibri" w:hAnsi="Calibri" w:cs="Calibri"/>
          <w:i/>
          <w:iCs/>
          <w:color w:val="000000"/>
          <w:sz w:val="22"/>
          <w:szCs w:val="22"/>
        </w:rPr>
        <w:t>It would clearly ease the creation process and maintenance effort on side of the manufacturers which in our opinion will be to the benefit of the customer as less administrative costs occur. However please be advised that our preference is a digital client offering process described in point 50 and 54 in further detail, which would result in a concrete investment proposal.</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lastRenderedPageBreak/>
        <w:t>&lt;ESA_QUESTION_PKID_54&gt;</w:t>
      </w:r>
    </w:p>
    <w:p w14:paraId="1A8FE557" w14:textId="44C3865F" w:rsidR="003E573C" w:rsidRDefault="008170F9" w:rsidP="003E573C">
      <w:pPr>
        <w:rPr>
          <w:rFonts w:cs="Arial"/>
        </w:rPr>
      </w:pPr>
      <w:permStart w:id="1862034741" w:edGrp="everyone"/>
      <w:r>
        <w:rPr>
          <w:rFonts w:ascii="Calibri" w:hAnsi="Calibri" w:cs="Calibri"/>
          <w:i/>
          <w:iCs/>
          <w:color w:val="000000"/>
          <w:sz w:val="22"/>
          <w:szCs w:val="22"/>
        </w:rPr>
        <w:t xml:space="preserve">Through the use of </w:t>
      </w:r>
      <w:proofErr w:type="gramStart"/>
      <w:r>
        <w:rPr>
          <w:rFonts w:ascii="Calibri" w:hAnsi="Calibri" w:cs="Calibri"/>
          <w:i/>
          <w:iCs/>
          <w:color w:val="000000"/>
          <w:sz w:val="22"/>
          <w:szCs w:val="22"/>
        </w:rPr>
        <w:t>cloud based</w:t>
      </w:r>
      <w:proofErr w:type="gramEnd"/>
      <w:r>
        <w:rPr>
          <w:rFonts w:ascii="Calibri" w:hAnsi="Calibri" w:cs="Calibri"/>
          <w:i/>
          <w:iCs/>
          <w:color w:val="000000"/>
          <w:sz w:val="22"/>
          <w:szCs w:val="22"/>
        </w:rPr>
        <w:t xml:space="preserve"> technology a digital advisory process allows for creating a tailor made investment proposal considering the concrete selection of </w:t>
      </w:r>
      <w:proofErr w:type="spellStart"/>
      <w:r>
        <w:rPr>
          <w:rFonts w:ascii="Calibri" w:hAnsi="Calibri" w:cs="Calibri"/>
          <w:i/>
          <w:iCs/>
          <w:color w:val="000000"/>
          <w:sz w:val="22"/>
          <w:szCs w:val="22"/>
        </w:rPr>
        <w:t>underlyings</w:t>
      </w:r>
      <w:proofErr w:type="spellEnd"/>
      <w:r>
        <w:rPr>
          <w:rFonts w:ascii="Calibri" w:hAnsi="Calibri" w:cs="Calibri"/>
          <w:i/>
          <w:iCs/>
          <w:color w:val="000000"/>
          <w:sz w:val="22"/>
          <w:szCs w:val="22"/>
        </w:rPr>
        <w:t xml:space="preserve"> and allowing for an ad hoc calculation of the aggregated KPIs, thus making the requirement of a range unnecessary.</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188FF409" w:rsidR="003E573C" w:rsidRDefault="008170F9" w:rsidP="003E573C">
      <w:pPr>
        <w:rPr>
          <w:rFonts w:cs="Arial"/>
        </w:rPr>
      </w:pPr>
      <w:permStart w:id="250878080" w:edGrp="everyone"/>
      <w:r>
        <w:rPr>
          <w:rFonts w:ascii="Calibri" w:hAnsi="Calibri" w:cs="Calibri"/>
          <w:i/>
          <w:iCs/>
          <w:color w:val="000000"/>
          <w:sz w:val="22"/>
          <w:szCs w:val="22"/>
        </w:rPr>
        <w:t>Potential disadvantages of the revised methodology and new approach are not transparently listed in the table but shifted to the cost assessment column. It would be important to have all pros and cons overview in the same place, near cost assessment, to offer a transparent overview to the stakeholders.</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9E70" w14:textId="77777777" w:rsidR="009E41AB" w:rsidRDefault="009E41AB">
      <w:r>
        <w:separator/>
      </w:r>
    </w:p>
    <w:p w14:paraId="515430EA" w14:textId="77777777" w:rsidR="009E41AB" w:rsidRDefault="009E41AB"/>
  </w:endnote>
  <w:endnote w:type="continuationSeparator" w:id="0">
    <w:p w14:paraId="691A9CAD" w14:textId="77777777" w:rsidR="009E41AB" w:rsidRDefault="009E41AB">
      <w:r>
        <w:continuationSeparator/>
      </w:r>
    </w:p>
    <w:p w14:paraId="3CF98F4F" w14:textId="77777777" w:rsidR="009E41AB" w:rsidRDefault="009E41AB"/>
  </w:endnote>
  <w:endnote w:type="continuationNotice" w:id="1">
    <w:p w14:paraId="6DBD8B4B" w14:textId="77777777" w:rsidR="009E41AB" w:rsidRDefault="009E4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DBE25" w14:textId="77777777" w:rsidR="009E41AB" w:rsidRDefault="009E41AB">
      <w:r>
        <w:separator/>
      </w:r>
    </w:p>
    <w:p w14:paraId="714481D5" w14:textId="77777777" w:rsidR="009E41AB" w:rsidRDefault="009E41AB"/>
  </w:footnote>
  <w:footnote w:type="continuationSeparator" w:id="0">
    <w:p w14:paraId="63437191" w14:textId="77777777" w:rsidR="009E41AB" w:rsidRDefault="009E41AB">
      <w:r>
        <w:continuationSeparator/>
      </w:r>
    </w:p>
    <w:p w14:paraId="2D68C0FC" w14:textId="77777777" w:rsidR="009E41AB" w:rsidRDefault="009E41AB"/>
  </w:footnote>
  <w:footnote w:type="continuationNotice" w:id="1">
    <w:p w14:paraId="3D3B8B98" w14:textId="77777777" w:rsidR="009E41AB" w:rsidRDefault="009E41AB"/>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AC4"/>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6548"/>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70F9"/>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41AB"/>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6AA8"/>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0FB6"/>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4836"/>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305243">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34263031">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64645838">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24915436">
      <w:bodyDiv w:val="1"/>
      <w:marLeft w:val="0"/>
      <w:marRight w:val="0"/>
      <w:marTop w:val="0"/>
      <w:marBottom w:val="0"/>
      <w:divBdr>
        <w:top w:val="none" w:sz="0" w:space="0" w:color="auto"/>
        <w:left w:val="none" w:sz="0" w:space="0" w:color="auto"/>
        <w:bottom w:val="none" w:sz="0" w:space="0" w:color="auto"/>
        <w:right w:val="none" w:sz="0" w:space="0" w:color="auto"/>
      </w:divBdr>
    </w:div>
    <w:div w:id="153611216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8212910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4861824">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0AB5A-65A4-4AB1-A26D-A3F08D84E7C2}">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F6564603-BAB8-48F4-A7F5-7AFD492F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5730</Words>
  <Characters>32662</Characters>
  <Application>Microsoft Office Word</Application>
  <DocSecurity>8</DocSecurity>
  <Lines>272</Lines>
  <Paragraphs>76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38316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Boris Espinoza-Kalchev</cp:lastModifiedBy>
  <cp:revision>6</cp:revision>
  <cp:lastPrinted>2015-02-18T11:01:00Z</cp:lastPrinted>
  <dcterms:created xsi:type="dcterms:W3CDTF">2019-10-16T14:22:00Z</dcterms:created>
  <dcterms:modified xsi:type="dcterms:W3CDTF">2020-01-13T20:47:00Z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