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Diskretbetoning"/>
          <w:b w:val="0"/>
          <w:sz w:val="22"/>
        </w:rPr>
      </w:pPr>
      <w:r w:rsidRPr="00197794">
        <w:rPr>
          <w:rStyle w:val="Diskretbetoning"/>
          <w:b w:val="0"/>
          <w:sz w:val="22"/>
        </w:rPr>
        <w:t>The European Supervisory Authorities (ESAs) welcome comments on this consultation paper setting out proposed amendments to Commission Delegated Regulation (EU) 2017/653 of 8 March 2017</w:t>
      </w:r>
      <w:r w:rsidRPr="00197794">
        <w:rPr>
          <w:rStyle w:val="Diskretbetoning"/>
          <w:b w:val="0"/>
          <w:sz w:val="22"/>
        </w:rPr>
        <w:footnoteReference w:id="2"/>
      </w:r>
      <w:r w:rsidRPr="00197794">
        <w:rPr>
          <w:rStyle w:val="Diskretbetoning"/>
          <w:b w:val="0"/>
          <w:sz w:val="22"/>
        </w:rPr>
        <w:t xml:space="preserve"> (hereinafter “PRIIPs Delegated Regulation”).</w:t>
      </w:r>
    </w:p>
    <w:p w14:paraId="10C2617A" w14:textId="77777777" w:rsidR="00197794" w:rsidRPr="00197794" w:rsidRDefault="00197794" w:rsidP="00197794">
      <w:pPr>
        <w:jc w:val="both"/>
        <w:rPr>
          <w:rStyle w:val="Diskretbetoning"/>
          <w:b w:val="0"/>
          <w:sz w:val="22"/>
        </w:rPr>
      </w:pPr>
    </w:p>
    <w:p w14:paraId="0C223EDE" w14:textId="77777777" w:rsidR="00197794" w:rsidRPr="00197794" w:rsidRDefault="00197794" w:rsidP="00197794">
      <w:pPr>
        <w:jc w:val="both"/>
        <w:rPr>
          <w:rStyle w:val="Diskretbetoning"/>
          <w:b w:val="0"/>
          <w:sz w:val="22"/>
        </w:rPr>
      </w:pPr>
      <w:r w:rsidRPr="00197794">
        <w:rPr>
          <w:rStyle w:val="Diskretbetoning"/>
          <w:b w:val="0"/>
          <w:sz w:val="22"/>
        </w:rPr>
        <w:t xml:space="preserve">The consultation package includes: </w:t>
      </w:r>
    </w:p>
    <w:p w14:paraId="18D2914F" w14:textId="1F1755EE" w:rsid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t>The consultation paper</w:t>
      </w:r>
    </w:p>
    <w:p w14:paraId="10BDD12A" w14:textId="706C2321" w:rsid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r>
      <w:r>
        <w:rPr>
          <w:rStyle w:val="Diskretbetoning"/>
          <w:b w:val="0"/>
          <w:sz w:val="22"/>
        </w:rPr>
        <w:t>Template for comments</w:t>
      </w:r>
    </w:p>
    <w:p w14:paraId="52DEC790" w14:textId="77777777" w:rsidR="00197794" w:rsidRDefault="00197794" w:rsidP="00197794">
      <w:pPr>
        <w:jc w:val="both"/>
        <w:rPr>
          <w:rStyle w:val="Diskretbetoning"/>
          <w:b w:val="0"/>
          <w:sz w:val="22"/>
        </w:rPr>
      </w:pPr>
    </w:p>
    <w:p w14:paraId="0582E623" w14:textId="7F8CAD3C" w:rsidR="00197794" w:rsidRPr="00197794" w:rsidRDefault="00197794" w:rsidP="00197794">
      <w:pPr>
        <w:jc w:val="both"/>
        <w:rPr>
          <w:rStyle w:val="Diskretbetoning"/>
          <w:b w:val="0"/>
          <w:sz w:val="22"/>
        </w:rPr>
      </w:pPr>
      <w:r w:rsidRPr="00197794">
        <w:rPr>
          <w:rStyle w:val="Diskretbetoning"/>
          <w:b w:val="0"/>
          <w:sz w:val="22"/>
        </w:rPr>
        <w:t>The ESAs invite comments on any aspect of this paper. Comments are most helpful if they:</w:t>
      </w:r>
    </w:p>
    <w:p w14:paraId="09C3854A" w14:textId="77777777" w:rsidR="00197794" w:rsidRP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t>contain a clear rationale; and</w:t>
      </w:r>
    </w:p>
    <w:p w14:paraId="2CDD20AE" w14:textId="77777777" w:rsidR="00197794" w:rsidRPr="00197794" w:rsidRDefault="00197794" w:rsidP="00197794">
      <w:pPr>
        <w:jc w:val="both"/>
        <w:rPr>
          <w:rStyle w:val="Diskretbetoning"/>
          <w:b w:val="0"/>
          <w:sz w:val="22"/>
        </w:rPr>
      </w:pPr>
      <w:r w:rsidRPr="00197794">
        <w:rPr>
          <w:rStyle w:val="Diskretbetoning"/>
          <w:b w:val="0"/>
          <w:sz w:val="22"/>
        </w:rPr>
        <w:t>•</w:t>
      </w:r>
      <w:r w:rsidRPr="00197794">
        <w:rPr>
          <w:rStyle w:val="Diskretbetoning"/>
          <w:b w:val="0"/>
          <w:sz w:val="22"/>
        </w:rPr>
        <w:tab/>
        <w:t>describe any alternatives the ESAs should consider.</w:t>
      </w:r>
    </w:p>
    <w:p w14:paraId="6D344FFC" w14:textId="77777777" w:rsidR="00197794" w:rsidRDefault="00197794" w:rsidP="00197794">
      <w:pPr>
        <w:jc w:val="both"/>
        <w:rPr>
          <w:rStyle w:val="Diskretbetoning"/>
          <w:b w:val="0"/>
          <w:sz w:val="22"/>
        </w:rPr>
      </w:pPr>
    </w:p>
    <w:p w14:paraId="17CD5259" w14:textId="6C7A8583" w:rsidR="00197794" w:rsidRPr="00197794" w:rsidRDefault="00197794" w:rsidP="00197794">
      <w:pPr>
        <w:spacing w:after="240"/>
        <w:jc w:val="both"/>
        <w:rPr>
          <w:rStyle w:val="Diskretbetoning"/>
          <w:b w:val="0"/>
          <w:sz w:val="22"/>
        </w:rPr>
      </w:pPr>
      <w:r w:rsidRPr="00197794">
        <w:rPr>
          <w:rStyle w:val="Diskretbetoning"/>
          <w:b w:val="0"/>
          <w:sz w:val="22"/>
        </w:rPr>
        <w:t xml:space="preserve">When describing alternative approaches the ESAs encourage stakeholders to consider how </w:t>
      </w:r>
      <w:r w:rsidR="004B1D0D">
        <w:rPr>
          <w:rStyle w:val="Diskretbetoning"/>
          <w:b w:val="0"/>
          <w:sz w:val="22"/>
        </w:rPr>
        <w:t xml:space="preserve">the </w:t>
      </w:r>
      <w:r w:rsidRPr="00197794">
        <w:rPr>
          <w:rStyle w:val="Diskretbetoning"/>
          <w:b w:val="0"/>
          <w:sz w:val="22"/>
        </w:rPr>
        <w:t>approach would achieve the aims of Regulation (EU) No 1286/2014</w:t>
      </w:r>
      <w:r w:rsidRPr="00197794">
        <w:rPr>
          <w:rStyle w:val="Diskretbetoning"/>
          <w:b w:val="0"/>
          <w:sz w:val="22"/>
        </w:rPr>
        <w:footnoteReference w:id="3"/>
      </w:r>
      <w:r w:rsidRPr="00197794">
        <w:rPr>
          <w:rStyle w:val="Diskretbetoning"/>
          <w:b w:val="0"/>
          <w:sz w:val="22"/>
        </w:rPr>
        <w:t xml:space="preserve"> (hereinafter “PRIIPs Regulation”). </w:t>
      </w:r>
    </w:p>
    <w:p w14:paraId="62803BA4" w14:textId="77777777" w:rsidR="00EC1154" w:rsidRDefault="00EC1154" w:rsidP="00AF38AF">
      <w:pPr>
        <w:rPr>
          <w:rStyle w:val="Diskretbetoning"/>
          <w:b w:val="0"/>
          <w:sz w:val="22"/>
        </w:rPr>
      </w:pPr>
    </w:p>
    <w:p w14:paraId="6A3CB03F" w14:textId="77777777" w:rsidR="009A3017" w:rsidRPr="00E40A5C" w:rsidRDefault="009A3017" w:rsidP="009A3017">
      <w:pPr>
        <w:spacing w:after="120"/>
        <w:jc w:val="both"/>
        <w:rPr>
          <w:rStyle w:val="Diskretbetoning"/>
          <w:sz w:val="22"/>
        </w:rPr>
      </w:pPr>
      <w:r w:rsidRPr="00E40A5C">
        <w:rPr>
          <w:rStyle w:val="Diskretbetoning"/>
          <w:sz w:val="22"/>
        </w:rPr>
        <w:t>Instructions</w:t>
      </w:r>
    </w:p>
    <w:p w14:paraId="6A3CB040" w14:textId="77777777" w:rsidR="009A3017" w:rsidRPr="00E40A5C" w:rsidRDefault="009A3017" w:rsidP="009A3017">
      <w:pPr>
        <w:spacing w:after="240"/>
        <w:jc w:val="both"/>
        <w:rPr>
          <w:rStyle w:val="Diskretbetoning"/>
          <w:b w:val="0"/>
          <w:sz w:val="22"/>
        </w:rPr>
      </w:pPr>
      <w:r w:rsidRPr="00E40A5C">
        <w:rPr>
          <w:rStyle w:val="Diskretbetoni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 xml:space="preserve">Insert your responses to the questions in the Consultation Paper in </w:t>
      </w:r>
      <w:r w:rsidR="00963D60">
        <w:rPr>
          <w:rStyle w:val="Diskretbetoning"/>
          <w:b w:val="0"/>
          <w:sz w:val="22"/>
        </w:rPr>
        <w:t>the present</w:t>
      </w:r>
      <w:r w:rsidR="00963D60" w:rsidRPr="00E40A5C">
        <w:rPr>
          <w:rStyle w:val="Diskretbetoning"/>
          <w:b w:val="0"/>
          <w:sz w:val="22"/>
        </w:rPr>
        <w:t xml:space="preserve"> </w:t>
      </w:r>
      <w:r w:rsidR="00315895">
        <w:rPr>
          <w:rStyle w:val="Diskretbetoning"/>
          <w:b w:val="0"/>
          <w:sz w:val="22"/>
        </w:rPr>
        <w:t xml:space="preserve">response </w:t>
      </w:r>
      <w:r w:rsidRPr="00E40A5C">
        <w:rPr>
          <w:rStyle w:val="Diskretbetoning"/>
          <w:b w:val="0"/>
          <w:sz w:val="22"/>
        </w:rPr>
        <w:t>form</w:t>
      </w:r>
      <w:r w:rsidR="00963D60">
        <w:rPr>
          <w:rStyle w:val="Diskretbetoning"/>
          <w:b w:val="0"/>
          <w:sz w:val="22"/>
        </w:rPr>
        <w:t>.</w:t>
      </w:r>
      <w:r w:rsidRPr="00E40A5C">
        <w:rPr>
          <w:rStyle w:val="Diskretbetoning"/>
          <w:b w:val="0"/>
          <w:sz w:val="22"/>
        </w:rPr>
        <w:t xml:space="preserve"> </w:t>
      </w:r>
    </w:p>
    <w:p w14:paraId="6A3CB042" w14:textId="71534174"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Please do not remove tags of the type &lt;ESA_QUESTION_</w:t>
      </w:r>
      <w:r w:rsidR="00197794">
        <w:rPr>
          <w:rStyle w:val="Diskretbetoning"/>
          <w:b w:val="0"/>
          <w:sz w:val="22"/>
        </w:rPr>
        <w:t>PKID</w:t>
      </w:r>
      <w:r w:rsidRPr="00E40A5C">
        <w:rPr>
          <w:rStyle w:val="Diskretbetoning"/>
          <w:b w:val="0"/>
          <w:sz w:val="22"/>
        </w:rPr>
        <w:t>_1&gt;. Your response to each question has to be framed by the two tags corresponding to the question.</w:t>
      </w:r>
    </w:p>
    <w:p w14:paraId="6A3CB043" w14:textId="77777777"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stycke"/>
        <w:numPr>
          <w:ilvl w:val="0"/>
          <w:numId w:val="37"/>
        </w:numPr>
        <w:spacing w:after="240" w:line="276" w:lineRule="auto"/>
        <w:ind w:left="567" w:hanging="567"/>
        <w:contextualSpacing w:val="0"/>
        <w:jc w:val="both"/>
        <w:rPr>
          <w:rStyle w:val="Diskretbetoning"/>
          <w:b w:val="0"/>
          <w:sz w:val="22"/>
        </w:rPr>
      </w:pPr>
      <w:r w:rsidRPr="00E40A5C">
        <w:rPr>
          <w:rStyle w:val="Diskretbetoning"/>
          <w:b w:val="0"/>
          <w:sz w:val="22"/>
        </w:rPr>
        <w:t>When you have drafted your response, name your response form according to the following convention: ESA_</w:t>
      </w:r>
      <w:r w:rsidR="00197794">
        <w:rPr>
          <w:rStyle w:val="Diskretbetoning"/>
          <w:b w:val="0"/>
          <w:sz w:val="22"/>
        </w:rPr>
        <w:t>PKID</w:t>
      </w:r>
      <w:r w:rsidRPr="00E40A5C">
        <w:rPr>
          <w:rStyle w:val="Diskretbetoning"/>
          <w:b w:val="0"/>
          <w:sz w:val="22"/>
        </w:rPr>
        <w:t>_nameofrespondent_RESPONSEFORM. For example, for a respondent named ABCD, the response form would be entitled ESA_</w:t>
      </w:r>
      <w:r w:rsidR="00197794">
        <w:rPr>
          <w:rStyle w:val="Diskretbetoning"/>
          <w:b w:val="0"/>
          <w:sz w:val="22"/>
        </w:rPr>
        <w:t>PKID</w:t>
      </w:r>
      <w:r w:rsidRPr="00E40A5C">
        <w:rPr>
          <w:rStyle w:val="Diskretbetoning"/>
          <w:b w:val="0"/>
          <w:sz w:val="22"/>
        </w:rPr>
        <w:t>_ABCD_RESPONSEFORM.</w:t>
      </w:r>
    </w:p>
    <w:p w14:paraId="180C2205" w14:textId="7763E035" w:rsidR="00197794" w:rsidRPr="00197794" w:rsidRDefault="00197794" w:rsidP="00197794">
      <w:pPr>
        <w:pStyle w:val="Liststycke"/>
        <w:numPr>
          <w:ilvl w:val="0"/>
          <w:numId w:val="37"/>
        </w:numPr>
        <w:spacing w:after="240" w:line="276" w:lineRule="auto"/>
        <w:ind w:left="567" w:hanging="567"/>
        <w:contextualSpacing w:val="0"/>
        <w:jc w:val="both"/>
        <w:rPr>
          <w:rStyle w:val="Diskretbetoning"/>
          <w:b w:val="0"/>
          <w:sz w:val="22"/>
        </w:rPr>
      </w:pPr>
      <w:r w:rsidRPr="00197794">
        <w:rPr>
          <w:rStyle w:val="Diskretbetoning"/>
          <w:b w:val="0"/>
          <w:sz w:val="22"/>
        </w:rPr>
        <w:lastRenderedPageBreak/>
        <w:t>The consultation paper is available on the websites of the three ESAs</w:t>
      </w:r>
      <w:r w:rsidR="00764042">
        <w:rPr>
          <w:rStyle w:val="Diskretbetoning"/>
          <w:b w:val="0"/>
          <w:sz w:val="22"/>
        </w:rPr>
        <w:t xml:space="preserve"> and the Joint Committee</w:t>
      </w:r>
      <w:r w:rsidRPr="00197794">
        <w:rPr>
          <w:rStyle w:val="Diskretbetoning"/>
          <w:b w:val="0"/>
          <w:sz w:val="22"/>
        </w:rPr>
        <w:t xml:space="preserve">. Comments on this consultation paper can be sent using the response form, via the </w:t>
      </w:r>
      <w:hyperlink r:id="rId16" w:history="1">
        <w:r w:rsidRPr="00197794">
          <w:rPr>
            <w:rStyle w:val="Hyperlnk"/>
            <w:rFonts w:cs="Arial"/>
            <w:sz w:val="22"/>
          </w:rPr>
          <w:t>ESMA website</w:t>
        </w:r>
      </w:hyperlink>
      <w:r w:rsidRPr="00197794">
        <w:rPr>
          <w:rStyle w:val="Diskretbetoning"/>
          <w:b w:val="0"/>
          <w:sz w:val="24"/>
        </w:rPr>
        <w:t xml:space="preserve"> </w:t>
      </w:r>
      <w:r w:rsidRPr="00197794">
        <w:rPr>
          <w:rStyle w:val="Diskretbetoning"/>
          <w:b w:val="0"/>
          <w:sz w:val="22"/>
        </w:rPr>
        <w:t xml:space="preserve">under the heading ‘Your input - Consultations’ by </w:t>
      </w:r>
      <w:r w:rsidRPr="00197794">
        <w:rPr>
          <w:rStyle w:val="Diskretbetoning"/>
          <w:sz w:val="22"/>
        </w:rPr>
        <w:t>13 January 2020</w:t>
      </w:r>
      <w:r w:rsidRPr="00197794">
        <w:rPr>
          <w:rStyle w:val="Diskretbetoning"/>
          <w:b w:val="0"/>
          <w:sz w:val="22"/>
        </w:rPr>
        <w:t>.</w:t>
      </w:r>
    </w:p>
    <w:p w14:paraId="2481E1E6" w14:textId="67CDDA3F" w:rsidR="00197794" w:rsidRDefault="00197794" w:rsidP="00197794">
      <w:pPr>
        <w:pStyle w:val="Liststycke"/>
        <w:numPr>
          <w:ilvl w:val="0"/>
          <w:numId w:val="37"/>
        </w:numPr>
        <w:spacing w:after="240" w:line="276" w:lineRule="auto"/>
        <w:ind w:left="567" w:hanging="567"/>
        <w:contextualSpacing w:val="0"/>
        <w:jc w:val="both"/>
        <w:rPr>
          <w:rStyle w:val="Diskretbetoning"/>
          <w:b w:val="0"/>
          <w:sz w:val="22"/>
        </w:rPr>
      </w:pPr>
      <w:r w:rsidRPr="00197794">
        <w:rPr>
          <w:rStyle w:val="Diskretbetoni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Diskretbetoning"/>
          <w:b w:val="0"/>
          <w:sz w:val="22"/>
        </w:rPr>
      </w:pPr>
    </w:p>
    <w:p w14:paraId="6A3CB046" w14:textId="77777777" w:rsidR="00210E59" w:rsidRPr="00210E59" w:rsidRDefault="00210E59" w:rsidP="00210E59">
      <w:pPr>
        <w:spacing w:after="120"/>
        <w:jc w:val="both"/>
        <w:rPr>
          <w:rStyle w:val="Diskretbetoning"/>
          <w:sz w:val="22"/>
        </w:rPr>
      </w:pPr>
      <w:r w:rsidRPr="00210E59">
        <w:rPr>
          <w:rStyle w:val="Diskretbetoni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Diskretbetoning"/>
          <w:sz w:val="22"/>
          <w:lang w:eastAsia="en-GB"/>
        </w:rPr>
      </w:pPr>
    </w:p>
    <w:p w14:paraId="3561D6A6" w14:textId="77777777" w:rsidR="00197794" w:rsidRDefault="00197794" w:rsidP="004E6AE4">
      <w:pPr>
        <w:rPr>
          <w:rStyle w:val="Diskretbetoning"/>
          <w:sz w:val="22"/>
          <w:lang w:eastAsia="en-GB"/>
        </w:rPr>
      </w:pPr>
    </w:p>
    <w:p w14:paraId="6A3CB048" w14:textId="1D432EA9" w:rsidR="009A3017" w:rsidRPr="00E40A5C" w:rsidRDefault="009A3017" w:rsidP="004E6AE4">
      <w:pPr>
        <w:rPr>
          <w:rStyle w:val="Diskretbetoning"/>
          <w:sz w:val="22"/>
          <w:lang w:eastAsia="en-GB"/>
        </w:rPr>
      </w:pPr>
      <w:r w:rsidRPr="00E40A5C">
        <w:rPr>
          <w:rStyle w:val="Diskretbetoni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otnotsreferens"/>
          <w:rFonts w:cs="Arial"/>
          <w:sz w:val="22"/>
        </w:rPr>
        <w:footnoteReference w:id="4"/>
      </w:r>
      <w:r w:rsidRPr="00197794">
        <w:rPr>
          <w:rFonts w:cs="Arial"/>
          <w:sz w:val="22"/>
        </w:rPr>
        <w:t xml:space="preserve">. Further information on data protection can be found under the </w:t>
      </w:r>
      <w:hyperlink r:id="rId17" w:history="1">
        <w:r w:rsidRPr="00197794">
          <w:rPr>
            <w:rStyle w:val="Hyperlnk"/>
            <w:rFonts w:cs="Arial"/>
            <w:sz w:val="22"/>
          </w:rPr>
          <w:t>Legal notice</w:t>
        </w:r>
      </w:hyperlink>
      <w:r w:rsidRPr="00197794">
        <w:rPr>
          <w:rFonts w:cs="Arial"/>
          <w:sz w:val="22"/>
        </w:rPr>
        <w:t xml:space="preserve"> section of the EBA website and under the </w:t>
      </w:r>
      <w:hyperlink r:id="rId18" w:history="1">
        <w:r w:rsidRPr="00197794">
          <w:rPr>
            <w:rStyle w:val="Hyperlnk"/>
            <w:rFonts w:cs="Arial"/>
            <w:sz w:val="22"/>
          </w:rPr>
          <w:t>Legal notice</w:t>
        </w:r>
      </w:hyperlink>
      <w:r w:rsidRPr="00197794">
        <w:rPr>
          <w:rFonts w:cs="Arial"/>
          <w:sz w:val="22"/>
        </w:rPr>
        <w:t xml:space="preserve"> section of the EIOPA website and under the </w:t>
      </w:r>
      <w:hyperlink r:id="rId19" w:history="1">
        <w:r w:rsidRPr="00197794">
          <w:rPr>
            <w:rStyle w:val="Hyperl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Diskretbetoni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Rubrik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Platshllartext"/>
              <w:rFonts w:cs="Arial"/>
            </w:rPr>
            <w:id w:val="-1905066999"/>
            <w:text/>
          </w:sdtPr>
          <w:sdtEndPr>
            <w:rPr>
              <w:rStyle w:val="Platshllartext"/>
            </w:rPr>
          </w:sdtEndPr>
          <w:sdtContent>
            <w:tc>
              <w:tcPr>
                <w:tcW w:w="5595" w:type="dxa"/>
                <w:shd w:val="clear" w:color="auto" w:fill="auto"/>
              </w:tcPr>
              <w:p w14:paraId="6A3CB051" w14:textId="75AFF086" w:rsidR="00B327E9" w:rsidRPr="00AB6D88" w:rsidRDefault="00884073" w:rsidP="00884073">
                <w:pPr>
                  <w:rPr>
                    <w:rStyle w:val="Platshllartext"/>
                    <w:rFonts w:cs="Arial"/>
                  </w:rPr>
                </w:pPr>
                <w:r>
                  <w:rPr>
                    <w:rStyle w:val="Platshllartext"/>
                    <w:rFonts w:cs="Arial"/>
                  </w:rPr>
                  <w:t>The Swedish Investment Fund Association</w:t>
                </w:r>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0CCD620F" w:rsidR="00B327E9" w:rsidRPr="00AB6D88" w:rsidRDefault="006D682E"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84073">
                  <w:rPr>
                    <w:rFonts w:cs="Arial"/>
                  </w:rPr>
                  <w:t>Other Financial service providers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7845598B" w:rsidR="00B327E9" w:rsidRPr="00AB6D88" w:rsidRDefault="00884073"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36B2883D" w:rsidR="00B327E9" w:rsidRPr="00AB6D88" w:rsidRDefault="00884073" w:rsidP="00F136AD">
                <w:pPr>
                  <w:rPr>
                    <w:rFonts w:cs="Arial"/>
                  </w:rPr>
                </w:pPr>
                <w:r>
                  <w:rPr>
                    <w:rFonts w:cs="Arial"/>
                  </w:rPr>
                  <w:t>Sweden</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Rubrik1"/>
        <w:numPr>
          <w:ilvl w:val="0"/>
          <w:numId w:val="0"/>
        </w:numPr>
        <w:ind w:left="431" w:hanging="431"/>
      </w:pPr>
      <w:r>
        <w:t>Introduction</w:t>
      </w:r>
    </w:p>
    <w:p w14:paraId="6A3CB05E" w14:textId="77777777" w:rsidR="00B327E9" w:rsidRPr="00E40A5C" w:rsidRDefault="00B327E9" w:rsidP="00B327E9">
      <w:pPr>
        <w:rPr>
          <w:rStyle w:val="Starkbetoning"/>
          <w:sz w:val="22"/>
        </w:rPr>
      </w:pPr>
      <w:r w:rsidRPr="00E40A5C">
        <w:rPr>
          <w:rStyle w:val="Starkbetoni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Diskretbetoning"/>
          <w:b w:val="0"/>
          <w:sz w:val="22"/>
        </w:rPr>
        <w:t>PKID</w:t>
      </w:r>
      <w:r w:rsidRPr="006F4535">
        <w:t>_1&gt;</w:t>
      </w:r>
    </w:p>
    <w:p w14:paraId="36B535AE" w14:textId="77777777" w:rsidR="00E75C00" w:rsidRDefault="00E75C00" w:rsidP="00E75C00">
      <w:permStart w:id="411981036" w:edGrp="everyone"/>
      <w:r>
        <w:t xml:space="preserve">The Swedish Investment Fund Association (SIFA) welcomes the opportunity to comment on the amendments of the PRIIPs KID. SIFA also appreciates the efforts the ESAs have made in order to make the PRIIPs KID more useful and understandable for the investors. However, given the scope of the amendments (only level 2) it is limited what the ESAs can amend. A full level 1 review is needed to fix the fatal flaws regarding for example performance scenarios and transaction costs. </w:t>
      </w:r>
    </w:p>
    <w:p w14:paraId="60D91E3D" w14:textId="77777777" w:rsidR="00E75C00" w:rsidRDefault="00E75C00" w:rsidP="00E75C00"/>
    <w:p w14:paraId="0469F5B0" w14:textId="77777777" w:rsidR="00E75C00" w:rsidRDefault="00E75C00" w:rsidP="00E75C00">
      <w:r>
        <w:t>For the moment it is safe to say that the average Swedish retail investor has not seen a PRIIP KID and it will only be when the fund management companies start to produce PRIIPs KIDs that there will be a real test of the usefulness (76 % of the adult population in Sweden invest in funds, 100% if the premium pension is included). If funds are to present PRIIPs KIDs instead of UCITS KIIDs to their investors in 2022 we are worried that it will bring a lot of confusion. No one is used to seeing performance scenarios, fund management companies do not produce them, mainly due to the view of the Swedish Consumer Agency that scenarios are considered as promises by investors, no matter what disclaimers are put in.</w:t>
      </w:r>
    </w:p>
    <w:p w14:paraId="70030726" w14:textId="77777777" w:rsidR="00E75C00" w:rsidRDefault="00E75C00" w:rsidP="00E75C00"/>
    <w:p w14:paraId="3F362F12" w14:textId="77777777" w:rsidR="00E75C00" w:rsidRDefault="00E75C00" w:rsidP="00E75C00">
      <w:r>
        <w:t>Further SIFA wants to highlight the importance of making sure to avoid the confusion for consumers with two documents, UCITS KIID and PRIIPs KID, on the market in 2022.  It is therefore important to take away the UCITS KIID when the PRIIPs KID is introduced for investment funds.</w:t>
      </w:r>
    </w:p>
    <w:p w14:paraId="1CB89F88" w14:textId="77777777" w:rsidR="00E75C00" w:rsidRDefault="00E75C00" w:rsidP="00E75C00"/>
    <w:p w14:paraId="24E99AC7" w14:textId="71CCDDA6" w:rsidR="0059339F" w:rsidRDefault="00E75C00" w:rsidP="00E75C00">
      <w:r>
        <w:t>Regarding MOPs the suggestions will make it very complex to compare different underlying products. Further, for the Swedish market the number of underlying products in a unit linked MOP is normally very large and the suggested additions would probably lead to the MOP-providers severely reducing the number of investable options.</w:t>
      </w:r>
    </w:p>
    <w:permEnd w:id="411981036"/>
    <w:p w14:paraId="6A3CB062" w14:textId="30E3973D" w:rsidR="00B327E9" w:rsidRPr="00BF28DA" w:rsidRDefault="00B327E9" w:rsidP="00B327E9">
      <w:r w:rsidRPr="00BF28DA">
        <w:t>&lt;ESA_COMMENT_</w:t>
      </w:r>
      <w:r w:rsidR="00197794">
        <w:rPr>
          <w:rStyle w:val="Diskretbetoni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914D040" w:rsidR="003E573C" w:rsidRPr="00B10668" w:rsidRDefault="00127D52" w:rsidP="003E573C">
      <w:pPr>
        <w:rPr>
          <w:rFonts w:cs="Arial"/>
        </w:rPr>
      </w:pPr>
      <w:permStart w:id="1221819945" w:edGrp="everyone"/>
      <w:r w:rsidRPr="00127D52">
        <w:rPr>
          <w:rFonts w:cs="Arial"/>
        </w:rPr>
        <w:t>It is important to have digital solutions in mind when new consumer information is regulated since the society and consumers are moving in a paperless direction. Having said that, the PRIIPs regulation is based on a 3 page paper that hardly can be digitalised more than in the form of a pdf. A start would be to change the Regulation so that durable media is the default option and paper is upon request.</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44753900" w:rsidR="003E573C" w:rsidRDefault="00B10668" w:rsidP="003E573C">
      <w:pPr>
        <w:rPr>
          <w:rFonts w:cs="Arial"/>
        </w:rPr>
      </w:pPr>
      <w:permStart w:id="729947415" w:edGrp="everyone"/>
      <w:r>
        <w:rPr>
          <w:rFonts w:cs="Arial"/>
        </w:rPr>
        <w:t>Yes.</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6E5C3A3E" w:rsidR="003E573C" w:rsidRDefault="00127D52" w:rsidP="003E573C">
      <w:pPr>
        <w:rPr>
          <w:rFonts w:cs="Arial"/>
        </w:rPr>
      </w:pPr>
      <w:permStart w:id="677205538" w:edGrp="everyone"/>
      <w:r w:rsidRPr="00127D52">
        <w:rPr>
          <w:rFonts w:cs="Arial"/>
        </w:rPr>
        <w:t>Only at the beginning of 2022. It will be a major change in 2022 for Swedish funds and investors and it is most preferable to do all changes at the same time.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51659E97" w:rsidR="003E573C" w:rsidRDefault="00127D52" w:rsidP="003E573C">
      <w:pPr>
        <w:rPr>
          <w:rFonts w:cs="Arial"/>
        </w:rPr>
      </w:pPr>
      <w:permStart w:id="1220688604" w:edGrp="everyone"/>
      <w:r w:rsidRPr="00127D52">
        <w:rPr>
          <w:rFonts w:cs="Arial"/>
        </w:rPr>
        <w:t>We do not prefer a graduated approach. All changes come with costs and it is more efficient to do them at one single time. SIFA believes that a step-by-step approach would be more administratively burdensome and costly.</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6FA19515" w:rsidR="003E573C" w:rsidRDefault="00183B76" w:rsidP="003E573C">
      <w:pPr>
        <w:rPr>
          <w:rFonts w:cs="Arial"/>
        </w:rPr>
      </w:pPr>
      <w:permStart w:id="209390932" w:edGrp="everyone"/>
      <w:r>
        <w:rPr>
          <w:rFonts w:cs="Arial"/>
        </w:rPr>
        <w:t>Not with the current time constraints.</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6E1D51D4" w14:textId="01CBAFB3" w:rsidR="000E7CB6" w:rsidRPr="00183B76" w:rsidRDefault="00127D52" w:rsidP="003E573C">
      <w:permStart w:id="418122716" w:edGrp="everyone"/>
      <w:r w:rsidRPr="00127D52">
        <w:t>SIFA regrets that the consumer testing is only limited. Narratives and what if scenarios (that only is proposed for structured products) should also be in scope.</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lastRenderedPageBreak/>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63A8EBCD" w14:textId="77777777" w:rsidR="00127D52" w:rsidRPr="00127D52" w:rsidRDefault="00127D52" w:rsidP="00127D52">
      <w:pPr>
        <w:rPr>
          <w:rFonts w:cs="Arial"/>
        </w:rPr>
      </w:pPr>
      <w:permStart w:id="569465455" w:edGrp="everyone"/>
      <w:r w:rsidRPr="00127D52">
        <w:rPr>
          <w:rFonts w:cs="Arial"/>
        </w:rPr>
        <w:t>SIFA would like to start with some general comments on proposed future performance scenarios. We support the ambition to try to take care of the pro-cyclicality built into the existing method. If historical performance is to be included in the PRIIPs KID, our view is that this needs to have consequences for the calculation of the future performance scenarios. With the historical performance investors get a very product specific information in the KID and consequently the performance scenarios can be more generalized, i.e. show examples for types of products. But it is important that the information used in those scenarios do not demand the use of non-public data. The suggestions made by the ESAs are good in the sense that they use general data for specific products, however the data suggested is not easily available for smaller fund companies (most small firms do not have the terminals we have heard the ESAs are using) and for the larger companies it will require new licencing fees once the information is used for new purposes.</w:t>
      </w:r>
    </w:p>
    <w:p w14:paraId="626B0EFB" w14:textId="77777777" w:rsidR="00127D52" w:rsidRPr="00127D52" w:rsidRDefault="00127D52" w:rsidP="00127D52">
      <w:pPr>
        <w:rPr>
          <w:rFonts w:cs="Arial"/>
        </w:rPr>
      </w:pPr>
    </w:p>
    <w:p w14:paraId="402AA886" w14:textId="77777777" w:rsidR="00127D52" w:rsidRPr="00127D52" w:rsidRDefault="00127D52" w:rsidP="00127D52">
      <w:pPr>
        <w:rPr>
          <w:rFonts w:cs="Arial"/>
        </w:rPr>
      </w:pPr>
      <w:r w:rsidRPr="00127D52">
        <w:rPr>
          <w:rFonts w:cs="Arial"/>
        </w:rPr>
        <w:t>Regarding probabilities SIFA sees no merit in including them. It will only blur the table and give the investors one extra piece of information that is not reliable and hard to understand.</w:t>
      </w:r>
    </w:p>
    <w:p w14:paraId="3F8FE164" w14:textId="77777777" w:rsidR="00127D52" w:rsidRPr="00127D52" w:rsidRDefault="00127D52" w:rsidP="00127D52">
      <w:pPr>
        <w:rPr>
          <w:rFonts w:cs="Arial"/>
        </w:rPr>
      </w:pPr>
    </w:p>
    <w:p w14:paraId="0DC68276" w14:textId="587CEE8B" w:rsidR="00127D52" w:rsidRPr="00127D52" w:rsidRDefault="00127D52" w:rsidP="00127D52">
      <w:pPr>
        <w:rPr>
          <w:rFonts w:cs="Arial"/>
        </w:rPr>
      </w:pPr>
      <w:r w:rsidRPr="00127D52">
        <w:rPr>
          <w:rFonts w:cs="Arial"/>
        </w:rPr>
        <w:t>Intermediate scenarios: We agree with the removal, they are not needed, a 1-year accompanied with a RHP is sufficient and will be easier for an investor to comprehend. They should be removed for all P</w:t>
      </w:r>
      <w:r>
        <w:rPr>
          <w:rFonts w:cs="Arial"/>
        </w:rPr>
        <w:t>RIIP</w:t>
      </w:r>
      <w:r w:rsidRPr="00127D52">
        <w:rPr>
          <w:rFonts w:cs="Arial"/>
        </w:rPr>
        <w:t>s (regardless of category).</w:t>
      </w:r>
    </w:p>
    <w:p w14:paraId="1387A723" w14:textId="77777777" w:rsidR="00127D52" w:rsidRPr="00127D52" w:rsidRDefault="00127D52" w:rsidP="00127D52">
      <w:pPr>
        <w:rPr>
          <w:rFonts w:cs="Arial"/>
        </w:rPr>
      </w:pPr>
    </w:p>
    <w:p w14:paraId="716CD155" w14:textId="56239B04" w:rsidR="000E7CB6" w:rsidRDefault="00127D52" w:rsidP="00127D52">
      <w:pPr>
        <w:rPr>
          <w:rFonts w:cs="Arial"/>
        </w:rPr>
      </w:pPr>
      <w:r w:rsidRPr="00127D52">
        <w:rPr>
          <w:rFonts w:cs="Arial"/>
        </w:rPr>
        <w:t>We do not understand the second question (moderate performance scenarios are still there and is the answer to the question).</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3DA4960D" w:rsidR="003E573C" w:rsidRDefault="000E7CB6" w:rsidP="003E573C">
      <w:pPr>
        <w:rPr>
          <w:rFonts w:cs="Arial"/>
        </w:rPr>
      </w:pPr>
      <w:permStart w:id="1713528049" w:edGrp="everyone"/>
      <w:r>
        <w:rPr>
          <w:rFonts w:cs="Arial"/>
        </w:rPr>
        <w:t>We believe that 3 scenarios are sufficient, hence stress scenarios should not be included.</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5EEEB33C" w14:textId="77777777" w:rsidR="00DD18FD" w:rsidRPr="00DD18FD" w:rsidRDefault="00DD18FD" w:rsidP="00DD18FD">
      <w:pPr>
        <w:rPr>
          <w:rFonts w:cs="Arial"/>
        </w:rPr>
      </w:pPr>
      <w:permStart w:id="221670941" w:edGrp="everyone"/>
      <w:r w:rsidRPr="00DD18FD">
        <w:rPr>
          <w:rFonts w:cs="Arial"/>
        </w:rPr>
        <w:t xml:space="preserve">In general we support a use of a general/standardized rate. We would however prefer that it is made clear that a simplistic approach should be acceptable (for example a global fund could use some kind of global index of sovereign bonds instead of collecting information from all markets/countries and make an asset weighted rate). Given the cost aspect and the very limited value for consumers of performance scenarios, we would urge the ESAs to consider to present and make public general rates.   </w:t>
      </w:r>
    </w:p>
    <w:p w14:paraId="0A4368BF" w14:textId="065EE1DD" w:rsidR="003E573C" w:rsidRDefault="00DD18FD" w:rsidP="00DD18FD">
      <w:pPr>
        <w:rPr>
          <w:rFonts w:cs="Arial"/>
        </w:rPr>
      </w:pPr>
      <w:r w:rsidRPr="00DD18FD">
        <w:rPr>
          <w:rFonts w:cs="Arial"/>
        </w:rPr>
        <w:t>Please also see our answer to Q7.</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1"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1"/>
    </w:p>
    <w:p w14:paraId="5C90E2A2" w14:textId="3A274DAD" w:rsidR="003E573C" w:rsidRDefault="003E573C" w:rsidP="003E573C">
      <w:pPr>
        <w:rPr>
          <w:rFonts w:cs="Arial"/>
        </w:rPr>
      </w:pPr>
      <w:r>
        <w:rPr>
          <w:rFonts w:cs="Arial"/>
        </w:rPr>
        <w:t>&lt;ESA_QUESTION_PKID_10&gt;</w:t>
      </w:r>
    </w:p>
    <w:p w14:paraId="59281EA4" w14:textId="77777777" w:rsidR="00AD6E9E" w:rsidRPr="00AD6E9E" w:rsidRDefault="00AD6E9E" w:rsidP="00AD6E9E">
      <w:pPr>
        <w:rPr>
          <w:rFonts w:cs="Arial"/>
        </w:rPr>
      </w:pPr>
      <w:permStart w:id="610013876" w:edGrp="everyone"/>
      <w:r w:rsidRPr="00AD6E9E">
        <w:rPr>
          <w:rFonts w:cs="Arial"/>
        </w:rPr>
        <w:t xml:space="preserve">SIFA believes that the calculation is too complicated. Calculations based on countries could be useful for a single country fund but for funds investing in many countries some kind of average/index should be able </w:t>
      </w:r>
      <w:r w:rsidRPr="00AD6E9E">
        <w:rPr>
          <w:rFonts w:cs="Arial"/>
        </w:rPr>
        <w:lastRenderedPageBreak/>
        <w:t>to be used. Given the cost aspect and the very limited value for consumers of performance scenarios, we would urge the ESAs to consider to present and make public general risk premiums.</w:t>
      </w:r>
    </w:p>
    <w:p w14:paraId="732C56F0" w14:textId="77777777" w:rsidR="00AD6E9E" w:rsidRPr="00AD6E9E" w:rsidRDefault="00AD6E9E" w:rsidP="00AD6E9E">
      <w:pPr>
        <w:rPr>
          <w:rFonts w:cs="Arial"/>
        </w:rPr>
      </w:pPr>
    </w:p>
    <w:p w14:paraId="3D5354FE" w14:textId="07101B78" w:rsidR="003E573C" w:rsidRDefault="00AD6E9E" w:rsidP="00AD6E9E">
      <w:pPr>
        <w:rPr>
          <w:rFonts w:cs="Arial"/>
        </w:rPr>
      </w:pPr>
      <w:r w:rsidRPr="00AD6E9E">
        <w:rPr>
          <w:rFonts w:cs="Arial"/>
        </w:rPr>
        <w:t>Please also see our answer to Q7.</w:t>
      </w:r>
      <w:r w:rsidR="00342B58">
        <w:rPr>
          <w:rFonts w:cs="Arial"/>
        </w:rPr>
        <w:t xml:space="preserve"> </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2F05B767" w14:textId="0FFA7BD3" w:rsidR="000E63CE" w:rsidRDefault="000E63CE" w:rsidP="003E573C">
      <w:pPr>
        <w:rPr>
          <w:rFonts w:cs="Arial"/>
        </w:rPr>
      </w:pPr>
      <w:permStart w:id="790175202" w:edGrp="everyone"/>
      <w:r w:rsidRPr="000E63CE">
        <w:rPr>
          <w:rFonts w:cs="Arial"/>
        </w:rPr>
        <w:t>Please see our answer</w:t>
      </w:r>
      <w:r w:rsidR="00AD6E9E">
        <w:rPr>
          <w:rFonts w:cs="Arial"/>
        </w:rPr>
        <w:t>s</w:t>
      </w:r>
      <w:r w:rsidRPr="000E63CE">
        <w:rPr>
          <w:rFonts w:cs="Arial"/>
        </w:rPr>
        <w:t xml:space="preserve"> to Q7</w:t>
      </w:r>
      <w:r>
        <w:rPr>
          <w:rFonts w:cs="Arial"/>
        </w:rPr>
        <w:t xml:space="preserve"> and Q10</w:t>
      </w:r>
    </w:p>
    <w:permEnd w:id="790175202"/>
    <w:p w14:paraId="140C09C0" w14:textId="0959BC8B"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57098076" w:rsidR="003E573C" w:rsidRDefault="000E63CE" w:rsidP="003E573C">
      <w:pPr>
        <w:rPr>
          <w:rFonts w:cs="Arial"/>
        </w:rPr>
      </w:pPr>
      <w:permStart w:id="800330460" w:edGrp="everyone"/>
      <w:r>
        <w:rPr>
          <w:rFonts w:cs="Arial"/>
        </w:rPr>
        <w:t>SIFA do not know of any available buy back rates. Please also see our answer to Q7.</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159BC187" w14:textId="77777777" w:rsidR="00AD6E9E" w:rsidRPr="00AD6E9E" w:rsidRDefault="00AD6E9E" w:rsidP="00AD6E9E">
      <w:pPr>
        <w:rPr>
          <w:rFonts w:cs="Arial"/>
        </w:rPr>
      </w:pPr>
      <w:permStart w:id="1179406826" w:edGrp="everyone"/>
      <w:r w:rsidRPr="00AD6E9E">
        <w:rPr>
          <w:rFonts w:cs="Arial"/>
        </w:rPr>
        <w:t>SIFA questions whether MMFs should be demanded to have access to option data, most of these funds do not trade with options and do not have the data.</w:t>
      </w:r>
    </w:p>
    <w:p w14:paraId="2878B4EB" w14:textId="4F4F26AD" w:rsidR="003E573C" w:rsidRDefault="00AD6E9E" w:rsidP="00AD6E9E">
      <w:pPr>
        <w:rPr>
          <w:rFonts w:cs="Arial"/>
        </w:rPr>
      </w:pPr>
      <w:r w:rsidRPr="00AD6E9E">
        <w:rPr>
          <w:rFonts w:cs="Arial"/>
        </w:rPr>
        <w:t>Please also see our answer to Q7.</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1650D94C" w14:textId="77777777" w:rsidR="00AD6E9E" w:rsidRDefault="00AD6E9E" w:rsidP="003E573C">
      <w:pPr>
        <w:rPr>
          <w:rFonts w:cs="Arial"/>
        </w:rPr>
      </w:pPr>
      <w:permStart w:id="1646396141" w:edGrp="everyone"/>
      <w:r w:rsidRPr="00AD6E9E">
        <w:rPr>
          <w:rFonts w:cs="Arial"/>
        </w:rPr>
        <w:t>SIFA do not support the use of option prices. Most funds do not deal with options and it is hence not information that is available for them (without additional costs).</w:t>
      </w:r>
    </w:p>
    <w:permEnd w:id="1646396141"/>
    <w:p w14:paraId="0FE78052" w14:textId="36ACE305" w:rsidR="003E573C" w:rsidRDefault="003E573C" w:rsidP="003E573C">
      <w:pPr>
        <w:rPr>
          <w:rFonts w:cs="Arial"/>
        </w:rPr>
      </w:pPr>
      <w:proofErr w:type="gramStart"/>
      <w:r>
        <w:rPr>
          <w:rFonts w:cs="Arial"/>
        </w:rPr>
        <w:t>&lt;</w:t>
      </w:r>
      <w:proofErr w:type="gramEnd"/>
      <w:r>
        <w:rPr>
          <w:rFonts w:cs="Arial"/>
        </w:rPr>
        <w: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3D26502" w:rsidR="003E573C" w:rsidRDefault="00AD6E9E" w:rsidP="003E573C">
      <w:pPr>
        <w:rPr>
          <w:rFonts w:cs="Arial"/>
        </w:rPr>
      </w:pPr>
      <w:permStart w:id="1271138379" w:edGrp="everyone"/>
      <w:r w:rsidRPr="00AD6E9E">
        <w:rPr>
          <w:rFonts w:cs="Arial"/>
        </w:rPr>
        <w:t>No, mainly due to that it will increase the complexity and decrease comparability. This reasoning also goes to show that the methodology needs to be simpler and more generalized.</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19F8793E" w:rsidR="003E573C" w:rsidRDefault="000E63CE" w:rsidP="003E573C">
      <w:pPr>
        <w:rPr>
          <w:rFonts w:cs="Arial"/>
        </w:rPr>
      </w:pPr>
      <w:permStart w:id="739535953" w:edGrp="everyone"/>
      <w:r>
        <w:rPr>
          <w:rFonts w:cs="Arial"/>
        </w:rPr>
        <w:lastRenderedPageBreak/>
        <w:t>No. It will definitely prevent comparability.</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218FB11A" w14:textId="4A4FDA50" w:rsidR="000E63CE" w:rsidRDefault="000E63CE" w:rsidP="003E573C">
      <w:pPr>
        <w:rPr>
          <w:rFonts w:cs="Arial"/>
        </w:rPr>
      </w:pPr>
      <w:permStart w:id="225396737" w:edGrp="everyone"/>
      <w:r w:rsidRPr="000E63CE">
        <w:rPr>
          <w:rFonts w:cs="Arial"/>
        </w:rPr>
        <w:t>Please see our answer to Q</w:t>
      </w:r>
      <w:r>
        <w:rPr>
          <w:rFonts w:cs="Arial"/>
        </w:rPr>
        <w:t>16</w:t>
      </w:r>
    </w:p>
    <w:permEnd w:id="225396737"/>
    <w:p w14:paraId="78DF26C5" w14:textId="2089F223"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02B7FE27" w:rsidR="003E573C" w:rsidRPr="000E63CE" w:rsidRDefault="00AD6E9E" w:rsidP="003E573C">
      <w:permStart w:id="1687822303" w:edGrp="everyone"/>
      <w:r w:rsidRPr="00AD6E9E">
        <w:rPr>
          <w:rFonts w:cs="Arial"/>
        </w:rPr>
        <w:t>SIFA supports a more simplified approach. Regarding probabilities SIFA sees no merit in including them. Doing so would only blur the table and give the investors one extra piece of information that is not reliable and hard to understand.</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5D3A45AF" w:rsidR="003E573C" w:rsidRDefault="000E63CE" w:rsidP="003E573C">
      <w:pPr>
        <w:rPr>
          <w:rFonts w:cs="Arial"/>
        </w:rPr>
      </w:pPr>
      <w:permStart w:id="669663577" w:edGrp="everyone"/>
      <w:r>
        <w:rPr>
          <w:rFonts w:cs="Arial"/>
        </w:rPr>
        <w:t>Yes.</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679DCC3F" w:rsidR="003E573C" w:rsidRDefault="00487474" w:rsidP="003E573C">
      <w:pPr>
        <w:rPr>
          <w:rFonts w:cs="Arial"/>
        </w:rPr>
      </w:pPr>
      <w:permStart w:id="806708611" w:edGrp="everyone"/>
      <w:r>
        <w:rPr>
          <w:rFonts w:cs="Arial"/>
        </w:rPr>
        <w:t>No</w:t>
      </w:r>
      <w:r w:rsidR="00AD6E9E">
        <w:rPr>
          <w:rFonts w:cs="Arial"/>
        </w:rPr>
        <w:t>.</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lastRenderedPageBreak/>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3B30DE9B" w:rsidR="003E573C" w:rsidRPr="001B3FF6" w:rsidRDefault="00AD6E9E" w:rsidP="003E573C">
      <w:pPr>
        <w:rPr>
          <w:rFonts w:cs="Arial"/>
        </w:rPr>
      </w:pPr>
      <w:permStart w:id="1634935588" w:edGrp="everyone"/>
      <w:r w:rsidRPr="00AD6E9E">
        <w:rPr>
          <w:rFonts w:cs="Arial"/>
        </w:rPr>
        <w:t>SIFA believes that illustrative scenarios should replace probabilistic scenarios, not complement them, and it should be not only for structured products but for all PRIIPs.</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694E8261" w14:textId="48BAA3B9" w:rsidR="001B3FF6" w:rsidRDefault="001B3FF6" w:rsidP="001B3FF6">
      <w:pPr>
        <w:rPr>
          <w:rFonts w:cs="Arial"/>
        </w:rPr>
      </w:pPr>
      <w:permStart w:id="872961277" w:edGrp="everyone"/>
      <w:r>
        <w:rPr>
          <w:rFonts w:cs="Arial"/>
        </w:rPr>
        <w:t xml:space="preserve">Yes. </w:t>
      </w:r>
      <w:r w:rsidRPr="000E63CE">
        <w:rPr>
          <w:rFonts w:cs="Arial"/>
        </w:rPr>
        <w:t xml:space="preserve">Please see our answer to </w:t>
      </w:r>
      <w:r>
        <w:rPr>
          <w:rFonts w:cs="Arial"/>
        </w:rPr>
        <w:t>Q23.</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0D87E7E1" w14:textId="77777777" w:rsidR="00095204" w:rsidRDefault="00095204" w:rsidP="003E573C">
      <w:pPr>
        <w:rPr>
          <w:rFonts w:cs="Arial"/>
        </w:rPr>
      </w:pPr>
      <w:permStart w:id="374105505" w:edGrp="everyone"/>
      <w:r w:rsidRPr="00095204">
        <w:rPr>
          <w:rFonts w:cs="Arial"/>
        </w:rPr>
        <w:t>Please see our answer to Q23.</w:t>
      </w:r>
    </w:p>
    <w:permEnd w:id="374105505"/>
    <w:p w14:paraId="7665AEED" w14:textId="31D74C2D"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5CDDBBC3" w:rsidR="003E573C" w:rsidRDefault="00AD6E9E" w:rsidP="003E573C">
      <w:pPr>
        <w:rPr>
          <w:rFonts w:cs="Arial"/>
        </w:rPr>
      </w:pPr>
      <w:permStart w:id="624894902" w:edGrp="everyone"/>
      <w:r w:rsidRPr="00AD6E9E">
        <w:rPr>
          <w:rFonts w:cs="Arial"/>
        </w:rPr>
        <w:t>Yes. Having a long experience of showing past performance our view is that it does not only give the investor of the historical return of the product but more importantly it gives a easy to understand view nature of the product in terms of risk and reward. A “picture” of 10 (yearly) return bars tells more than a thousand words. Further, an inclusion of the funds benchmark gives the consumer a tool to evaluate the fees paid.</w:t>
      </w:r>
      <w:r w:rsidR="0093148F">
        <w:rPr>
          <w:rFonts w:cs="Arial"/>
        </w:rPr>
        <w:t xml:space="preserve"> </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41790354" w:rsidR="003E573C" w:rsidRDefault="00D04FD7" w:rsidP="003E573C">
      <w:pPr>
        <w:rPr>
          <w:rFonts w:cs="Arial"/>
        </w:rPr>
      </w:pPr>
      <w:permStart w:id="1007688109" w:edGrp="everyone"/>
      <w:r>
        <w:rPr>
          <w:rFonts w:cs="Arial"/>
        </w:rPr>
        <w:t>No</w:t>
      </w:r>
      <w:r w:rsidR="00AD6E9E">
        <w:rPr>
          <w:rFonts w:cs="Arial"/>
        </w:rPr>
        <w:t>.</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4C44568" w:rsidR="003E573C" w:rsidRDefault="00D2325D" w:rsidP="003E573C">
      <w:pPr>
        <w:rPr>
          <w:rFonts w:cs="Arial"/>
        </w:rPr>
      </w:pPr>
      <w:permStart w:id="1152679739" w:edGrp="everyone"/>
      <w:r w:rsidRPr="00D2325D">
        <w:rPr>
          <w:rFonts w:cs="Arial"/>
        </w:rPr>
        <w:t>No, a year by year chart is much more preferable. Most important, it gives an illustrative, easy to understand overview of what kind of product this is both in terms of return and risk that is much harder to understand if the “volatility” is even out into an average.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41FE780" w:rsidR="003E573C" w:rsidRDefault="0093148F" w:rsidP="003E573C">
      <w:pPr>
        <w:rPr>
          <w:rFonts w:cs="Arial"/>
        </w:rPr>
      </w:pPr>
      <w:permStart w:id="419824169" w:edGrp="everyone"/>
      <w:r>
        <w:rPr>
          <w:rFonts w:cs="Arial"/>
        </w:rPr>
        <w:t>No</w:t>
      </w:r>
      <w:r w:rsidR="00095204">
        <w:rPr>
          <w:rFonts w:cs="Arial"/>
        </w:rPr>
        <w:t>, but it should be investigated if the inclusion needs the page limit be expanded to 4 pages.</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DCD0DF0" w:rsidR="003E573C" w:rsidRDefault="00D2325D" w:rsidP="003E573C">
      <w:pPr>
        <w:rPr>
          <w:rFonts w:cs="Arial"/>
        </w:rPr>
      </w:pPr>
      <w:permStart w:id="503522783" w:edGrp="everyone"/>
      <w:r w:rsidRPr="00D2325D">
        <w:rPr>
          <w:rFonts w:cs="Arial"/>
        </w:rPr>
        <w:t>Yes, it should be made clear that the future performance scenarios are only generic attempts to illustrate possible outcomes for the type of product at hand.</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otnotsreferens"/>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081BD2F7" w:rsidR="003E573C" w:rsidRPr="004A69FA" w:rsidRDefault="001B0EDD" w:rsidP="003E573C">
      <w:pPr>
        <w:rPr>
          <w:rFonts w:cs="Arial"/>
        </w:rPr>
      </w:pPr>
      <w:permStart w:id="1708064826" w:edGrp="everyone"/>
      <w:r w:rsidRPr="004A69FA">
        <w:rPr>
          <w:rFonts w:cs="Arial"/>
        </w:rPr>
        <w:t xml:space="preserve">SIFA believes that </w:t>
      </w:r>
      <w:r w:rsidR="004A69FA" w:rsidRPr="004A69FA">
        <w:rPr>
          <w:rFonts w:cs="Arial"/>
        </w:rPr>
        <w:t xml:space="preserve">it would be better to simply state that </w:t>
      </w:r>
      <w:r w:rsidR="004A69FA">
        <w:rPr>
          <w:rFonts w:cs="Arial"/>
        </w:rPr>
        <w:t>a benchmark is a valuable</w:t>
      </w:r>
      <w:r w:rsidR="00B72EC4">
        <w:rPr>
          <w:rFonts w:cs="Arial"/>
        </w:rPr>
        <w:t xml:space="preserve"> way of helping the investor </w:t>
      </w:r>
      <w:r w:rsidR="004A69FA">
        <w:rPr>
          <w:rFonts w:cs="Arial"/>
        </w:rPr>
        <w:t>evaluate</w:t>
      </w:r>
      <w:r w:rsidR="00A97DA4">
        <w:rPr>
          <w:rFonts w:cs="Arial"/>
        </w:rPr>
        <w:t xml:space="preserve"> the product and that a relevant benchmark should be included if the product can be measured against one (on objective matters, from the point of the investor) regardless of if the fund is managed “in reference to a benchmark”. This would also avoid the unnecessary hair-splitting exercises performed in the above mentioned Q&amp;A.</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3075CF6" w:rsidR="003E573C" w:rsidRDefault="006F7B53" w:rsidP="003E573C">
      <w:pPr>
        <w:rPr>
          <w:rFonts w:cs="Arial"/>
        </w:rPr>
      </w:pPr>
      <w:permStart w:id="320603426" w:edGrp="everyone"/>
      <w:r w:rsidRPr="006F7B53">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55F476C6" w:rsidR="003E573C" w:rsidRDefault="006D682E" w:rsidP="003E573C">
      <w:pPr>
        <w:rPr>
          <w:rFonts w:cs="Arial"/>
        </w:rPr>
      </w:pPr>
      <w:permStart w:id="1802452064" w:edGrp="everyone"/>
      <w:r w:rsidRPr="006D682E">
        <w:rPr>
          <w:rFonts w:cs="Arial"/>
        </w:rPr>
        <w:t>1 year and RHP is enough for the investor and will make the table easier to read. One important aspect of the cost presentation is comparability and in that sense the 1 year period is crucial since PRIIPs can have very different RHPs.</w:t>
      </w:r>
      <w:r w:rsidR="000A1CFC">
        <w:rPr>
          <w:rFonts w:cs="Arial"/>
        </w:rPr>
        <w:t xml:space="preserve"> </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lastRenderedPageBreak/>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1E7D6784" w:rsidR="003E573C" w:rsidRDefault="00D944B2" w:rsidP="003E573C">
      <w:pPr>
        <w:rPr>
          <w:rFonts w:cs="Arial"/>
        </w:rPr>
      </w:pPr>
      <w:permStart w:id="1498437863" w:edGrp="everyone"/>
      <w:r>
        <w:rPr>
          <w:rFonts w:cs="Arial"/>
        </w:rPr>
        <w:t>Please s</w:t>
      </w:r>
      <w:r w:rsidR="00A97DA4">
        <w:rPr>
          <w:rFonts w:cs="Arial"/>
        </w:rPr>
        <w:t xml:space="preserve">ee </w:t>
      </w:r>
      <w:r>
        <w:rPr>
          <w:rFonts w:cs="Arial"/>
        </w:rPr>
        <w:t xml:space="preserve">our </w:t>
      </w:r>
      <w:r w:rsidR="00A97DA4">
        <w:rPr>
          <w:rFonts w:cs="Arial"/>
        </w:rPr>
        <w:t>answer on Q33</w:t>
      </w:r>
      <w:r w:rsidR="006D682E">
        <w:rPr>
          <w:rFonts w:cs="Arial"/>
        </w:rPr>
        <w:t>.</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07B0E5BA" w:rsidR="003E573C" w:rsidRDefault="006D682E" w:rsidP="003E573C">
      <w:pPr>
        <w:rPr>
          <w:rFonts w:cs="Arial"/>
        </w:rPr>
      </w:pPr>
      <w:permStart w:id="621350576" w:edGrp="everyone"/>
      <w:r w:rsidRPr="006D682E">
        <w:rPr>
          <w:rFonts w:cs="Arial"/>
        </w:rPr>
        <w:t>SIFA sees a risk of information overload and do not see how investors could benefit from adding more figures to the existing table.</w:t>
      </w:r>
      <w:r w:rsidR="00A97DA4">
        <w:rPr>
          <w:rFonts w:cs="Arial"/>
        </w:rPr>
        <w:t xml:space="preserve"> </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45C642D2" w14:textId="77777777" w:rsidR="006D682E" w:rsidRPr="006D682E" w:rsidRDefault="006D682E" w:rsidP="006D682E">
      <w:pPr>
        <w:rPr>
          <w:rFonts w:cs="Arial"/>
        </w:rPr>
      </w:pPr>
      <w:permStart w:id="354879508" w:edGrp="everyone"/>
      <w:r w:rsidRPr="006D682E">
        <w:rPr>
          <w:rFonts w:cs="Arial"/>
        </w:rPr>
        <w:t xml:space="preserve">The alignment with MiFID ex ante disclosures should be looked into further. In order for the cost information to be more useful and MiFID-like both the RIY-calculation for the 1 year period and the Type of cost/Description of cost need to be adjusted: </w:t>
      </w:r>
    </w:p>
    <w:p w14:paraId="61FE4AC7" w14:textId="77777777" w:rsidR="006D682E" w:rsidRPr="006D682E" w:rsidRDefault="006D682E" w:rsidP="006D682E">
      <w:pPr>
        <w:rPr>
          <w:rFonts w:cs="Arial"/>
        </w:rPr>
      </w:pPr>
      <w:r w:rsidRPr="006D682E">
        <w:rPr>
          <w:rFonts w:cs="Arial"/>
        </w:rPr>
        <w:t xml:space="preserve">-The 1 year RIY (%) needs to be calculated on a zero return assumption. </w:t>
      </w:r>
    </w:p>
    <w:p w14:paraId="418794EF" w14:textId="7387A1FC" w:rsidR="00E40C26" w:rsidRDefault="006D682E" w:rsidP="006D682E">
      <w:pPr>
        <w:rPr>
          <w:rFonts w:cs="Arial"/>
        </w:rPr>
      </w:pPr>
      <w:r w:rsidRPr="006D682E">
        <w:rPr>
          <w:rFonts w:cs="Arial"/>
        </w:rPr>
        <w:t>-One-off costs in the Type of cost/Description of cost table need to be like MiFID i.e. not averaged out on the RHP. The averaging out on the RHP works fairly good for Ongoing costs (they will normally still be like the MiFID ex-ante) but not for the one-off costs.</w:t>
      </w:r>
      <w:r w:rsidR="00E40C26">
        <w:rPr>
          <w:rFonts w:cs="Arial"/>
        </w:rPr>
        <w:t xml:space="preserve"> </w:t>
      </w:r>
    </w:p>
    <w:permEnd w:id="354879508"/>
    <w:p w14:paraId="0D82FF49" w14:textId="09697B98"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3B766BAB" w:rsidR="003E573C" w:rsidRDefault="002E6C95" w:rsidP="003E573C">
      <w:pPr>
        <w:rPr>
          <w:rFonts w:cs="Arial"/>
        </w:rPr>
      </w:pPr>
      <w:permStart w:id="80752736" w:edGrp="everyone"/>
      <w:r>
        <w:rPr>
          <w:rFonts w:cs="Arial"/>
        </w:rPr>
        <w:t>Not that we are aware of.</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6A3FC791" w:rsidR="003E573C" w:rsidRDefault="00DB1D10" w:rsidP="003E573C">
      <w:pPr>
        <w:rPr>
          <w:rFonts w:cs="Arial"/>
        </w:rPr>
      </w:pPr>
      <w:permStart w:id="777852593" w:edGrp="everyone"/>
      <w:r>
        <w:rPr>
          <w:rFonts w:cs="Arial"/>
        </w:rPr>
        <w:t>SIFA believes that option 3 is far too complex/blurry and foresee that it will be rejected in the consumer testing exercise.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2F36B5B9" w:rsidR="003E573C" w:rsidRPr="00E40C26" w:rsidRDefault="00DB1D10" w:rsidP="003E573C">
      <w:pPr>
        <w:rPr>
          <w:rFonts w:cs="Arial"/>
        </w:rPr>
      </w:pPr>
      <w:permStart w:id="1928422042" w:edGrp="everyone"/>
      <w:r w:rsidRPr="00E40C26">
        <w:rPr>
          <w:rFonts w:cs="Arial"/>
        </w:rPr>
        <w:t xml:space="preserve">Please see the suggestion in the EFAMA </w:t>
      </w:r>
      <w:r w:rsidR="00E40C26">
        <w:rPr>
          <w:rFonts w:cs="Arial"/>
        </w:rPr>
        <w:t xml:space="preserve">Q40 </w:t>
      </w:r>
      <w:r w:rsidRPr="00E40C26">
        <w:rPr>
          <w:rFonts w:cs="Arial"/>
        </w:rPr>
        <w:t>response</w:t>
      </w:r>
      <w:r w:rsidR="00E40C26">
        <w:rPr>
          <w:rFonts w:cs="Arial"/>
        </w:rPr>
        <w:t xml:space="preserve"> which SIFA supports</w:t>
      </w:r>
      <w:r w:rsidRPr="00E40C26">
        <w:rPr>
          <w:rFonts w:cs="Arial"/>
        </w:rPr>
        <w:t>.</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5B3EDB13" w:rsidR="003E573C" w:rsidRDefault="00DB1D10" w:rsidP="003E573C">
      <w:pPr>
        <w:rPr>
          <w:rFonts w:cs="Arial"/>
        </w:rPr>
      </w:pPr>
      <w:permStart w:id="855140723" w:edGrp="everyone"/>
      <w:r>
        <w:rPr>
          <w:rFonts w:cs="Arial"/>
        </w:rPr>
        <w:t xml:space="preserve">No, the tables cannot take </w:t>
      </w:r>
      <w:r w:rsidR="00C6110D">
        <w:rPr>
          <w:rFonts w:cs="Arial"/>
        </w:rPr>
        <w:t>the addition of</w:t>
      </w:r>
      <w:r>
        <w:rPr>
          <w:rFonts w:cs="Arial"/>
        </w:rPr>
        <w:t xml:space="preserve"> more information, it will only confuse investors.</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355E3DC1" w:rsidR="003E573C" w:rsidRDefault="00DB1D10" w:rsidP="003E573C">
      <w:pPr>
        <w:rPr>
          <w:rFonts w:cs="Arial"/>
        </w:rPr>
      </w:pPr>
      <w:permStart w:id="1223957116" w:edGrp="everyone"/>
      <w:r>
        <w:rPr>
          <w:rFonts w:cs="Arial"/>
        </w:rPr>
        <w:t>Please see our answers on Q39-42</w:t>
      </w:r>
      <w:r w:rsidR="006D682E">
        <w:rPr>
          <w:rFonts w:cs="Arial"/>
        </w:rPr>
        <w:t>.</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47F11039" w14:textId="77777777" w:rsidR="006D682E" w:rsidRPr="006D682E" w:rsidRDefault="006D682E" w:rsidP="006D682E">
      <w:pPr>
        <w:rPr>
          <w:rFonts w:cs="Arial"/>
        </w:rPr>
      </w:pPr>
      <w:permStart w:id="1305246923" w:edGrp="everyone"/>
      <w:r w:rsidRPr="006D682E">
        <w:rPr>
          <w:rFonts w:cs="Arial"/>
        </w:rPr>
        <w:t xml:space="preserve">Regarding the other proposed adjustments (Option 1) SIFA supports the possibility for OTC-transactions to use the derogations. SIFA do not support the suggestion to keep the calculation for equity funds since it still is a very complicated and costly method that incorrectly includes market movements as costs. </w:t>
      </w:r>
    </w:p>
    <w:p w14:paraId="06084735" w14:textId="77777777" w:rsidR="006D682E" w:rsidRPr="006D682E" w:rsidRDefault="006D682E" w:rsidP="006D682E">
      <w:pPr>
        <w:rPr>
          <w:rFonts w:cs="Arial"/>
        </w:rPr>
      </w:pPr>
      <w:r w:rsidRPr="006D682E">
        <w:rPr>
          <w:rFonts w:cs="Arial"/>
        </w:rPr>
        <w:t>SIFA does not support the exclusion of negative transaction costs. If the slippage approach is kept it does not make sense only to use some of its outcome.</w:t>
      </w:r>
    </w:p>
    <w:p w14:paraId="06A07055" w14:textId="77777777" w:rsidR="006D682E" w:rsidRPr="006D682E" w:rsidRDefault="006D682E" w:rsidP="006D682E">
      <w:pPr>
        <w:rPr>
          <w:rFonts w:cs="Arial"/>
        </w:rPr>
      </w:pPr>
      <w:r w:rsidRPr="006D682E">
        <w:rPr>
          <w:rFonts w:cs="Arial"/>
        </w:rPr>
        <w:t xml:space="preserve">  </w:t>
      </w:r>
    </w:p>
    <w:p w14:paraId="54022992" w14:textId="77777777" w:rsidR="006D682E" w:rsidRPr="006D682E" w:rsidRDefault="006D682E" w:rsidP="006D682E">
      <w:pPr>
        <w:rPr>
          <w:rFonts w:cs="Arial"/>
        </w:rPr>
      </w:pPr>
      <w:r w:rsidRPr="006D682E">
        <w:rPr>
          <w:rFonts w:cs="Arial"/>
        </w:rPr>
        <w:t>Having said that, SIFA still believes that the use of the slippage approach is far too complicated, it is simply too much work in order to come up with a questionable number. If it is transparency on transaction costs to investors that is the goal, it is better to use explicit costs + a general level of implicit costs per asset type provided by the ESAs. The argument that it will not incentivise the fund to keep implicit costs down does not make sense, funds have the rules of best execution taking care of that issue.</w:t>
      </w:r>
    </w:p>
    <w:p w14:paraId="7201A4D2" w14:textId="77777777" w:rsidR="006D682E" w:rsidRPr="006D682E" w:rsidRDefault="006D682E" w:rsidP="006D682E">
      <w:pPr>
        <w:rPr>
          <w:rFonts w:cs="Arial"/>
        </w:rPr>
      </w:pPr>
      <w:r w:rsidRPr="006D682E">
        <w:rPr>
          <w:rFonts w:cs="Arial"/>
        </w:rPr>
        <w:t>Hence SIFA supports a more criteria based approach, like the one in Option 2, at least for implicit transaction costs (explicit transaction costs are far easier to calculate for the individual fund).</w:t>
      </w:r>
    </w:p>
    <w:p w14:paraId="441D03E0" w14:textId="77777777" w:rsidR="006D682E" w:rsidRPr="006D682E" w:rsidRDefault="006D682E" w:rsidP="006D682E">
      <w:pPr>
        <w:rPr>
          <w:rFonts w:cs="Arial"/>
        </w:rPr>
      </w:pPr>
    </w:p>
    <w:p w14:paraId="400EBB58" w14:textId="282A7E52" w:rsidR="002C0E3D" w:rsidRPr="00D500EC" w:rsidRDefault="006D682E" w:rsidP="006D682E">
      <w:pPr>
        <w:rPr>
          <w:rFonts w:cs="Arial"/>
        </w:rPr>
      </w:pPr>
      <w:r w:rsidRPr="006D682E">
        <w:rPr>
          <w:rFonts w:cs="Arial"/>
        </w:rPr>
        <w:t>Regarding the thresholds it will benefit closed end funds over open end funds.</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 xml:space="preserve">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w:t>
      </w:r>
      <w:r w:rsidRPr="00763760">
        <w:lastRenderedPageBreak/>
        <w:t>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3FDA10FC" w14:textId="77777777" w:rsidR="006D682E" w:rsidRPr="006D682E" w:rsidRDefault="006D682E" w:rsidP="006D682E">
      <w:pPr>
        <w:rPr>
          <w:rFonts w:cs="Arial"/>
        </w:rPr>
      </w:pPr>
      <w:permStart w:id="700270871" w:edGrp="everyone"/>
      <w:r w:rsidRPr="006D682E">
        <w:rPr>
          <w:rFonts w:cs="Arial"/>
        </w:rPr>
        <w:t xml:space="preserve">SIFA would strongly prefer that there is no UCITS KII-requirement for institutional investors, due to the negative factors mentioned by the ESAs. If both PRIIPs KID and UCITS KIIDs would exist on the market for the same fund it would be very confusing for the consumers. It will also mean a lot of additional work for the fund companies having to keep up with two different KID/KII. This would be both time consuming and cost intensive for the fund companies. </w:t>
      </w:r>
    </w:p>
    <w:p w14:paraId="2BCA5BEE" w14:textId="77777777" w:rsidR="006D682E" w:rsidRPr="006D682E" w:rsidRDefault="006D682E" w:rsidP="006D682E">
      <w:pPr>
        <w:rPr>
          <w:rFonts w:cs="Arial"/>
        </w:rPr>
      </w:pPr>
    </w:p>
    <w:p w14:paraId="0D357EC6" w14:textId="77777777" w:rsidR="006D682E" w:rsidRPr="006D682E" w:rsidRDefault="006D682E" w:rsidP="006D682E">
      <w:pPr>
        <w:rPr>
          <w:rFonts w:cs="Arial"/>
        </w:rPr>
      </w:pPr>
      <w:r w:rsidRPr="006D682E">
        <w:rPr>
          <w:rFonts w:cs="Arial"/>
        </w:rPr>
        <w:t xml:space="preserve">Also, institutional investors are in no need of a simplified document since they have the capability to demand and understand more detailed/complex information. In case a professional investor would require a simplified document, the PRIIPs KID could be provided instead. </w:t>
      </w:r>
    </w:p>
    <w:p w14:paraId="584D2614" w14:textId="77777777" w:rsidR="006D682E" w:rsidRPr="006D682E" w:rsidRDefault="006D682E" w:rsidP="006D682E">
      <w:pPr>
        <w:rPr>
          <w:rFonts w:cs="Arial"/>
        </w:rPr>
      </w:pPr>
    </w:p>
    <w:p w14:paraId="6376DA79" w14:textId="70166C8B" w:rsidR="003E573C" w:rsidRDefault="006D682E" w:rsidP="006D682E">
      <w:pPr>
        <w:rPr>
          <w:rFonts w:cs="Arial"/>
        </w:rPr>
      </w:pPr>
      <w:r w:rsidRPr="006D682E">
        <w:rPr>
          <w:rFonts w:cs="Arial"/>
        </w:rPr>
        <w:t>SIFA therefore urges that the requirement to provide professional investors with a UCITS KIID should be removed. If the requirement is not removed, SIFA thinks that professional investors should also be provided with a PRIIPs KID.</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lastRenderedPageBreak/>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52F152A4" w14:textId="39732605" w:rsidR="00FC58DD" w:rsidRPr="00A072C6" w:rsidRDefault="006D682E" w:rsidP="003E573C">
      <w:pPr>
        <w:rPr>
          <w:rFonts w:cs="Arial"/>
        </w:rPr>
      </w:pPr>
      <w:permStart w:id="1857164361" w:edGrp="everyone"/>
      <w:r w:rsidRPr="006D682E">
        <w:rPr>
          <w:rFonts w:cs="Arial"/>
        </w:rPr>
        <w:t>Although seeing the disadvantages of the current approach SIFA does not see the proposed solution as an improvement. It will make it hard for the investor if a few products have an alternative disclosure.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6E525F88" w14:textId="77777777" w:rsidR="006D682E" w:rsidRPr="006D682E" w:rsidRDefault="006D682E" w:rsidP="006D682E">
      <w:pPr>
        <w:rPr>
          <w:rFonts w:cs="Arial"/>
        </w:rPr>
      </w:pPr>
      <w:permStart w:id="1989770724" w:edGrp="everyone"/>
      <w:r w:rsidRPr="006D682E">
        <w:rPr>
          <w:rFonts w:cs="Arial"/>
        </w:rPr>
        <w:t>Yes. Given the fact that most unit linked solutions include a very large number of funds it will seldom be obvious which 4 products are the most relevant. It would also include a lot of information sharing between the fund companies and the PRIIP-producer.</w:t>
      </w:r>
    </w:p>
    <w:p w14:paraId="6927C5A9" w14:textId="77777777" w:rsidR="006D682E" w:rsidRPr="006D682E" w:rsidRDefault="006D682E" w:rsidP="006D682E">
      <w:pPr>
        <w:rPr>
          <w:rFonts w:cs="Arial"/>
        </w:rPr>
      </w:pPr>
    </w:p>
    <w:p w14:paraId="0E62BF4E" w14:textId="35D6DBE8" w:rsidR="003E573C" w:rsidRDefault="006D682E" w:rsidP="006D682E">
      <w:pPr>
        <w:rPr>
          <w:rFonts w:cs="Arial"/>
        </w:rPr>
      </w:pPr>
      <w:r w:rsidRPr="006D682E">
        <w:rPr>
          <w:rFonts w:cs="Arial"/>
        </w:rPr>
        <w:t>Most troublesome is the suggestion to include references in the underlying investment option to the generic PRIIP (Article 14 p1e). When funds produce their PRIIPs KID or UCITS KIID it needs to be universal for all distribution channels. This demand would force fund managers to produce numerous versions of one fund´s PRIIP KIDs. For example, one Swedish fund is often distributed by 10-15 different unit linked providers and these providers often have that fund included in many different unit linked solutions. Hence, the inclusion of references would dramatically complicate the distribution.</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0EBF2242" w:rsidR="003E573C" w:rsidRDefault="00AB1CA3" w:rsidP="003E573C">
      <w:pPr>
        <w:rPr>
          <w:rFonts w:cs="Arial"/>
        </w:rPr>
      </w:pPr>
      <w:permStart w:id="1417153881" w:edGrp="everyone"/>
      <w:r>
        <w:rPr>
          <w:rFonts w:cs="Arial"/>
        </w:rPr>
        <w:t>Yes</w:t>
      </w:r>
      <w:r w:rsidR="006D682E">
        <w:rPr>
          <w:rFonts w:cs="Arial"/>
        </w:rPr>
        <w:t>,</w:t>
      </w:r>
      <w:bookmarkStart w:id="2" w:name="_GoBack"/>
      <w:bookmarkEnd w:id="2"/>
      <w:r>
        <w:rPr>
          <w:rFonts w:cs="Arial"/>
        </w:rPr>
        <w:t xml:space="preserve"> it will be more complex </w:t>
      </w:r>
      <w:r w:rsidR="00973349">
        <w:rPr>
          <w:rFonts w:cs="Arial"/>
        </w:rPr>
        <w:t xml:space="preserve">for consumer to </w:t>
      </w:r>
      <w:r>
        <w:rPr>
          <w:rFonts w:cs="Arial"/>
        </w:rPr>
        <w:t>understand</w:t>
      </w:r>
      <w:r w:rsidR="00973349">
        <w:rPr>
          <w:rFonts w:cs="Arial"/>
        </w:rPr>
        <w:t xml:space="preserve"> and compare</w:t>
      </w:r>
      <w:r>
        <w:rPr>
          <w:rFonts w:cs="Arial"/>
        </w:rPr>
        <w:t>.</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5E974E81" w:rsidR="003E573C" w:rsidRDefault="00487474" w:rsidP="003E573C">
      <w:pPr>
        <w:rPr>
          <w:rFonts w:cs="Arial"/>
        </w:rPr>
      </w:pPr>
      <w:permStart w:id="481841044" w:edGrp="everyone"/>
      <w:r>
        <w:rPr>
          <w:rFonts w:cs="Arial"/>
        </w:rPr>
        <w:t>No, please see our answers to Q50-52.</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lastRenderedPageBreak/>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6BCFC" w14:textId="77777777" w:rsidR="00003889" w:rsidRDefault="00003889">
      <w:r>
        <w:separator/>
      </w:r>
    </w:p>
    <w:p w14:paraId="040CD5D5" w14:textId="77777777" w:rsidR="00003889" w:rsidRDefault="00003889"/>
  </w:endnote>
  <w:endnote w:type="continuationSeparator" w:id="0">
    <w:p w14:paraId="2E58ED25" w14:textId="77777777" w:rsidR="00003889" w:rsidRDefault="00003889">
      <w:r>
        <w:continuationSeparator/>
      </w:r>
    </w:p>
    <w:p w14:paraId="248E5D9D" w14:textId="77777777" w:rsidR="00003889" w:rsidRDefault="00003889"/>
  </w:endnote>
  <w:endnote w:type="continuationNotice" w:id="1">
    <w:p w14:paraId="0CBC8314" w14:textId="77777777" w:rsidR="00003889" w:rsidRDefault="00003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6D682E">
            <w:rPr>
              <w:rFonts w:cs="Arial"/>
              <w:noProof/>
              <w:sz w:val="22"/>
              <w:szCs w:val="22"/>
            </w:rPr>
            <w:t>14</w:t>
          </w:r>
          <w:r w:rsidRPr="00616B9B">
            <w:rPr>
              <w:rFonts w:cs="Arial"/>
              <w:noProof/>
              <w:sz w:val="22"/>
              <w:szCs w:val="22"/>
            </w:rPr>
            <w:fldChar w:fldCharType="end"/>
          </w:r>
        </w:p>
      </w:tc>
    </w:tr>
  </w:tbl>
  <w:p w14:paraId="6A3CB0F0" w14:textId="77777777" w:rsidR="00811EDA" w:rsidRDefault="00811E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100" w14:textId="77777777" w:rsidR="00811EDA" w:rsidRDefault="00811ED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491C4" w14:textId="77777777" w:rsidR="00003889" w:rsidRDefault="00003889">
      <w:r>
        <w:separator/>
      </w:r>
    </w:p>
    <w:p w14:paraId="2618B2B8" w14:textId="77777777" w:rsidR="00003889" w:rsidRDefault="00003889"/>
  </w:footnote>
  <w:footnote w:type="continuationSeparator" w:id="0">
    <w:p w14:paraId="6802F367" w14:textId="77777777" w:rsidR="00003889" w:rsidRDefault="00003889">
      <w:r>
        <w:continuationSeparator/>
      </w:r>
    </w:p>
    <w:p w14:paraId="5440B6EB" w14:textId="77777777" w:rsidR="00003889" w:rsidRDefault="00003889"/>
  </w:footnote>
  <w:footnote w:type="continuationNotice" w:id="1">
    <w:p w14:paraId="5831FA46" w14:textId="77777777" w:rsidR="00003889" w:rsidRDefault="00003889"/>
  </w:footnote>
  <w:footnote w:id="2">
    <w:p w14:paraId="3ADCE2CB" w14:textId="77777777" w:rsidR="00197794" w:rsidRPr="009E1A8D" w:rsidRDefault="00197794" w:rsidP="00197794">
      <w:pPr>
        <w:pStyle w:val="Fotnotstext"/>
      </w:pPr>
      <w:r>
        <w:rPr>
          <w:rStyle w:val="Fotnotsreferens"/>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197794" w:rsidRDefault="00197794" w:rsidP="00197794">
      <w:pPr>
        <w:pStyle w:val="Fotnotstext"/>
      </w:pPr>
      <w:r>
        <w:rPr>
          <w:rStyle w:val="Fotnotsreferens"/>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Fotnotstext"/>
      </w:pPr>
      <w:r>
        <w:rPr>
          <w:rStyle w:val="Fotnotsreferens"/>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Fotnotstext"/>
      </w:pPr>
      <w:r>
        <w:rPr>
          <w:rStyle w:val="Fotnotsreferens"/>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EC" w14:textId="0B1FCCA2" w:rsidR="00811EDA" w:rsidRDefault="008F65D5">
    <w:pPr>
      <w:pStyle w:val="Sidhuvud"/>
    </w:pPr>
    <w:r>
      <w:rPr>
        <w:noProof/>
        <w:lang w:val="sv-SE" w:eastAsia="sv-S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sv-SE" w:eastAsia="sv-S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1" w14:textId="57FA93C8" w:rsidR="00811EDA" w:rsidRDefault="008F65D5" w:rsidP="00013CCE">
    <w:pPr>
      <w:pStyle w:val="Sidhuvud"/>
      <w:jc w:val="right"/>
    </w:pPr>
    <w:r>
      <w:rPr>
        <w:noProof/>
        <w:lang w:val="sv-SE" w:eastAsia="sv-S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sv-SE" w:eastAsia="sv-S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2" w14:textId="77777777"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Sidhuvud"/>
      <w:rPr>
        <w:lang w:val="fr-FR"/>
      </w:rPr>
    </w:pPr>
  </w:p>
  <w:p w14:paraId="6A3CB0F8" w14:textId="77777777" w:rsidR="00811EDA" w:rsidRPr="002F4496" w:rsidRDefault="00811EDA" w:rsidP="000C06C9">
    <w:pPr>
      <w:pStyle w:val="Sidhuvud"/>
      <w:tabs>
        <w:tab w:val="clear" w:pos="4536"/>
        <w:tab w:val="clear" w:pos="9072"/>
        <w:tab w:val="left" w:pos="8227"/>
      </w:tabs>
      <w:rPr>
        <w:lang w:val="fr-FR"/>
      </w:rPr>
    </w:pPr>
  </w:p>
  <w:p w14:paraId="6A3CB0F9" w14:textId="77777777" w:rsidR="00811EDA" w:rsidRPr="002F4496" w:rsidRDefault="00811EDA" w:rsidP="000C06C9">
    <w:pPr>
      <w:pStyle w:val="Sidhuvud"/>
      <w:tabs>
        <w:tab w:val="clear" w:pos="4536"/>
        <w:tab w:val="clear" w:pos="9072"/>
        <w:tab w:val="left" w:pos="8227"/>
      </w:tabs>
      <w:rPr>
        <w:lang w:val="fr-FR"/>
      </w:rPr>
    </w:pPr>
  </w:p>
  <w:p w14:paraId="6A3CB0FA" w14:textId="77777777" w:rsidR="00811EDA" w:rsidRPr="002F4496" w:rsidRDefault="00811EDA">
    <w:pPr>
      <w:pStyle w:val="Sidhuvud"/>
      <w:rPr>
        <w:lang w:val="fr-FR"/>
      </w:rPr>
    </w:pPr>
  </w:p>
  <w:p w14:paraId="6A3CB0FB" w14:textId="77777777" w:rsidR="00811EDA" w:rsidRPr="002F4496" w:rsidRDefault="00811EDA">
    <w:pPr>
      <w:pStyle w:val="Sidhuvud"/>
      <w:rPr>
        <w:lang w:val="fr-FR"/>
      </w:rPr>
    </w:pPr>
  </w:p>
  <w:p w14:paraId="6A3CB0FC" w14:textId="77777777" w:rsidR="00811EDA" w:rsidRPr="002F4496" w:rsidRDefault="00811EDA">
    <w:pPr>
      <w:pStyle w:val="Sidhuvud"/>
      <w:rPr>
        <w:lang w:val="fr-FR"/>
      </w:rPr>
    </w:pPr>
  </w:p>
  <w:p w14:paraId="6A3CB0FD" w14:textId="77777777" w:rsidR="00811EDA" w:rsidRPr="002F4496" w:rsidRDefault="00811EDA">
    <w:pPr>
      <w:pStyle w:val="Sidhuvud"/>
      <w:rPr>
        <w:lang w:val="fr-FR"/>
      </w:rPr>
    </w:pPr>
  </w:p>
  <w:p w14:paraId="6A3CB0FE" w14:textId="77777777" w:rsidR="00811EDA" w:rsidRPr="002F4496" w:rsidRDefault="00811EDA">
    <w:pPr>
      <w:pStyle w:val="Sidhuvud"/>
      <w:rPr>
        <w:highlight w:val="yellow"/>
        <w:lang w:val="fr-FR"/>
      </w:rPr>
    </w:pPr>
  </w:p>
  <w:p w14:paraId="6A3CB0FF" w14:textId="05D5FF53" w:rsidR="00811EDA" w:rsidRDefault="00DE66EB">
    <w:pPr>
      <w:pStyle w:val="Sidhuvud"/>
    </w:pPr>
    <w:r>
      <w:rPr>
        <w:noProof/>
        <w:lang w:val="sv-SE" w:eastAsia="sv-S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val="sv-SE" w:eastAsia="sv-S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9">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889"/>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5204"/>
    <w:rsid w:val="00096762"/>
    <w:rsid w:val="000969C8"/>
    <w:rsid w:val="0009752D"/>
    <w:rsid w:val="00097AEE"/>
    <w:rsid w:val="000A014A"/>
    <w:rsid w:val="000A04B6"/>
    <w:rsid w:val="000A0E36"/>
    <w:rsid w:val="000A1BD2"/>
    <w:rsid w:val="000A1CFC"/>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E95"/>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3CE"/>
    <w:rsid w:val="000E667A"/>
    <w:rsid w:val="000E7086"/>
    <w:rsid w:val="000E7C65"/>
    <w:rsid w:val="000E7CB6"/>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27D52"/>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3B76"/>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0EDD"/>
    <w:rsid w:val="001B1355"/>
    <w:rsid w:val="001B3138"/>
    <w:rsid w:val="001B38DE"/>
    <w:rsid w:val="001B3FF6"/>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E6E51"/>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460"/>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77D4D"/>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B78D9"/>
    <w:rsid w:val="002C0E3D"/>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0D01"/>
    <w:rsid w:val="002E1517"/>
    <w:rsid w:val="002E1B22"/>
    <w:rsid w:val="002E30BB"/>
    <w:rsid w:val="002E387F"/>
    <w:rsid w:val="002E4F86"/>
    <w:rsid w:val="002E6C95"/>
    <w:rsid w:val="002E7113"/>
    <w:rsid w:val="002E7F4B"/>
    <w:rsid w:val="002E7FB3"/>
    <w:rsid w:val="002F0C91"/>
    <w:rsid w:val="002F0E3E"/>
    <w:rsid w:val="002F1B19"/>
    <w:rsid w:val="002F1FBF"/>
    <w:rsid w:val="002F4139"/>
    <w:rsid w:val="00300624"/>
    <w:rsid w:val="00300F56"/>
    <w:rsid w:val="00301006"/>
    <w:rsid w:val="0030106E"/>
    <w:rsid w:val="00303565"/>
    <w:rsid w:val="00304A71"/>
    <w:rsid w:val="003066C8"/>
    <w:rsid w:val="0030739D"/>
    <w:rsid w:val="00307AFB"/>
    <w:rsid w:val="00311184"/>
    <w:rsid w:val="00312675"/>
    <w:rsid w:val="00312FD3"/>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275E4"/>
    <w:rsid w:val="0033194F"/>
    <w:rsid w:val="00332304"/>
    <w:rsid w:val="00332406"/>
    <w:rsid w:val="00332D8D"/>
    <w:rsid w:val="00336420"/>
    <w:rsid w:val="00336B56"/>
    <w:rsid w:val="00337A3F"/>
    <w:rsid w:val="00341B25"/>
    <w:rsid w:val="00341EC0"/>
    <w:rsid w:val="0034240C"/>
    <w:rsid w:val="00342B58"/>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226"/>
    <w:rsid w:val="00417EF7"/>
    <w:rsid w:val="00422A7D"/>
    <w:rsid w:val="00422BFC"/>
    <w:rsid w:val="00423F03"/>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474"/>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6EC6"/>
    <w:rsid w:val="00497750"/>
    <w:rsid w:val="00497B44"/>
    <w:rsid w:val="004A00E5"/>
    <w:rsid w:val="004A01A7"/>
    <w:rsid w:val="004A03FB"/>
    <w:rsid w:val="004A0D09"/>
    <w:rsid w:val="004A116E"/>
    <w:rsid w:val="004A357F"/>
    <w:rsid w:val="004A3DAD"/>
    <w:rsid w:val="004A4AC0"/>
    <w:rsid w:val="004A69FA"/>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1D1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6E1"/>
    <w:rsid w:val="00531C6D"/>
    <w:rsid w:val="00532EF4"/>
    <w:rsid w:val="005347CE"/>
    <w:rsid w:val="00535477"/>
    <w:rsid w:val="00535DEA"/>
    <w:rsid w:val="0053723A"/>
    <w:rsid w:val="00537636"/>
    <w:rsid w:val="00537B1D"/>
    <w:rsid w:val="00540191"/>
    <w:rsid w:val="0054082C"/>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26A3"/>
    <w:rsid w:val="00593133"/>
    <w:rsid w:val="0059339F"/>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D682E"/>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6F7B53"/>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1E5F"/>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1E1B"/>
    <w:rsid w:val="0075289E"/>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256F"/>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B6C"/>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033C"/>
    <w:rsid w:val="00862DDD"/>
    <w:rsid w:val="0086326D"/>
    <w:rsid w:val="00863CC1"/>
    <w:rsid w:val="00865B01"/>
    <w:rsid w:val="00866D7A"/>
    <w:rsid w:val="00866EE3"/>
    <w:rsid w:val="008701E5"/>
    <w:rsid w:val="008706C5"/>
    <w:rsid w:val="00871F04"/>
    <w:rsid w:val="008746C1"/>
    <w:rsid w:val="00880224"/>
    <w:rsid w:val="0088244C"/>
    <w:rsid w:val="00883367"/>
    <w:rsid w:val="00884073"/>
    <w:rsid w:val="00884C47"/>
    <w:rsid w:val="00884E92"/>
    <w:rsid w:val="00885E6F"/>
    <w:rsid w:val="008861AC"/>
    <w:rsid w:val="008868E4"/>
    <w:rsid w:val="00886A60"/>
    <w:rsid w:val="0088759B"/>
    <w:rsid w:val="008909B4"/>
    <w:rsid w:val="008922E8"/>
    <w:rsid w:val="00893916"/>
    <w:rsid w:val="008941B9"/>
    <w:rsid w:val="0089442C"/>
    <w:rsid w:val="00895818"/>
    <w:rsid w:val="0089749B"/>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450"/>
    <w:rsid w:val="00907631"/>
    <w:rsid w:val="00907776"/>
    <w:rsid w:val="00913401"/>
    <w:rsid w:val="00913567"/>
    <w:rsid w:val="009137B6"/>
    <w:rsid w:val="00915EBA"/>
    <w:rsid w:val="009166BD"/>
    <w:rsid w:val="00917093"/>
    <w:rsid w:val="0092030E"/>
    <w:rsid w:val="009203D0"/>
    <w:rsid w:val="009217B1"/>
    <w:rsid w:val="00921A42"/>
    <w:rsid w:val="009223BB"/>
    <w:rsid w:val="00922491"/>
    <w:rsid w:val="00923BCF"/>
    <w:rsid w:val="009252EC"/>
    <w:rsid w:val="00925AEC"/>
    <w:rsid w:val="0092751A"/>
    <w:rsid w:val="009305C4"/>
    <w:rsid w:val="0093148F"/>
    <w:rsid w:val="00931FAF"/>
    <w:rsid w:val="009360F6"/>
    <w:rsid w:val="009371DC"/>
    <w:rsid w:val="0093759D"/>
    <w:rsid w:val="00940239"/>
    <w:rsid w:val="00942BD6"/>
    <w:rsid w:val="00942DED"/>
    <w:rsid w:val="00944404"/>
    <w:rsid w:val="009452D7"/>
    <w:rsid w:val="00945FD1"/>
    <w:rsid w:val="00946CCC"/>
    <w:rsid w:val="00947A5F"/>
    <w:rsid w:val="009503E5"/>
    <w:rsid w:val="00950CAB"/>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DD2"/>
    <w:rsid w:val="00963FDF"/>
    <w:rsid w:val="00964780"/>
    <w:rsid w:val="00964C32"/>
    <w:rsid w:val="0096528F"/>
    <w:rsid w:val="009653F2"/>
    <w:rsid w:val="009661DF"/>
    <w:rsid w:val="009667BD"/>
    <w:rsid w:val="00967674"/>
    <w:rsid w:val="00967CE2"/>
    <w:rsid w:val="00971DA3"/>
    <w:rsid w:val="00972161"/>
    <w:rsid w:val="0097261B"/>
    <w:rsid w:val="00973349"/>
    <w:rsid w:val="00974881"/>
    <w:rsid w:val="0097606C"/>
    <w:rsid w:val="009771D1"/>
    <w:rsid w:val="0098012D"/>
    <w:rsid w:val="00980845"/>
    <w:rsid w:val="00981BD9"/>
    <w:rsid w:val="0098225F"/>
    <w:rsid w:val="00983A3C"/>
    <w:rsid w:val="00983EFA"/>
    <w:rsid w:val="00984C15"/>
    <w:rsid w:val="009855C9"/>
    <w:rsid w:val="00987829"/>
    <w:rsid w:val="00991276"/>
    <w:rsid w:val="009923E7"/>
    <w:rsid w:val="00992697"/>
    <w:rsid w:val="00992D4E"/>
    <w:rsid w:val="00993D1B"/>
    <w:rsid w:val="00994621"/>
    <w:rsid w:val="009947FF"/>
    <w:rsid w:val="0099544B"/>
    <w:rsid w:val="00996704"/>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072C6"/>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46DFC"/>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87ACD"/>
    <w:rsid w:val="00A903D3"/>
    <w:rsid w:val="00A91682"/>
    <w:rsid w:val="00A91E16"/>
    <w:rsid w:val="00A92E4A"/>
    <w:rsid w:val="00A958CA"/>
    <w:rsid w:val="00A966B6"/>
    <w:rsid w:val="00A96B46"/>
    <w:rsid w:val="00A96C55"/>
    <w:rsid w:val="00A97DA4"/>
    <w:rsid w:val="00AA003B"/>
    <w:rsid w:val="00AA016B"/>
    <w:rsid w:val="00AA15DD"/>
    <w:rsid w:val="00AA1C09"/>
    <w:rsid w:val="00AA2F67"/>
    <w:rsid w:val="00AA3569"/>
    <w:rsid w:val="00AA5F4C"/>
    <w:rsid w:val="00AA615C"/>
    <w:rsid w:val="00AA6711"/>
    <w:rsid w:val="00AB1CA3"/>
    <w:rsid w:val="00AB2AEC"/>
    <w:rsid w:val="00AB2DC1"/>
    <w:rsid w:val="00AB3102"/>
    <w:rsid w:val="00AB3715"/>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6E9E"/>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668"/>
    <w:rsid w:val="00B10991"/>
    <w:rsid w:val="00B12128"/>
    <w:rsid w:val="00B12945"/>
    <w:rsid w:val="00B12C1E"/>
    <w:rsid w:val="00B13DD7"/>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2207"/>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2EC4"/>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12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110D"/>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43D4"/>
    <w:rsid w:val="00CE6FC6"/>
    <w:rsid w:val="00CF2056"/>
    <w:rsid w:val="00CF4471"/>
    <w:rsid w:val="00CF4927"/>
    <w:rsid w:val="00CF51C0"/>
    <w:rsid w:val="00CF5B2A"/>
    <w:rsid w:val="00CF5F57"/>
    <w:rsid w:val="00CF64A7"/>
    <w:rsid w:val="00CF6730"/>
    <w:rsid w:val="00CF70E5"/>
    <w:rsid w:val="00CF7CEC"/>
    <w:rsid w:val="00D000A3"/>
    <w:rsid w:val="00D00B0F"/>
    <w:rsid w:val="00D01BF4"/>
    <w:rsid w:val="00D0272C"/>
    <w:rsid w:val="00D045CE"/>
    <w:rsid w:val="00D04FD7"/>
    <w:rsid w:val="00D05082"/>
    <w:rsid w:val="00D06163"/>
    <w:rsid w:val="00D07AFD"/>
    <w:rsid w:val="00D11749"/>
    <w:rsid w:val="00D118E5"/>
    <w:rsid w:val="00D12A7D"/>
    <w:rsid w:val="00D13AB0"/>
    <w:rsid w:val="00D1519E"/>
    <w:rsid w:val="00D152B7"/>
    <w:rsid w:val="00D16EDC"/>
    <w:rsid w:val="00D17FDE"/>
    <w:rsid w:val="00D201CB"/>
    <w:rsid w:val="00D22786"/>
    <w:rsid w:val="00D228B4"/>
    <w:rsid w:val="00D2325D"/>
    <w:rsid w:val="00D2526F"/>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532"/>
    <w:rsid w:val="00D44C18"/>
    <w:rsid w:val="00D4556D"/>
    <w:rsid w:val="00D500EC"/>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944B2"/>
    <w:rsid w:val="00DA0FA7"/>
    <w:rsid w:val="00DA12B0"/>
    <w:rsid w:val="00DA2BA0"/>
    <w:rsid w:val="00DA39AD"/>
    <w:rsid w:val="00DA5B13"/>
    <w:rsid w:val="00DA6917"/>
    <w:rsid w:val="00DA6926"/>
    <w:rsid w:val="00DB0965"/>
    <w:rsid w:val="00DB0E47"/>
    <w:rsid w:val="00DB1D10"/>
    <w:rsid w:val="00DB2BDD"/>
    <w:rsid w:val="00DB4121"/>
    <w:rsid w:val="00DB46C3"/>
    <w:rsid w:val="00DB4DE3"/>
    <w:rsid w:val="00DB5742"/>
    <w:rsid w:val="00DB5EDF"/>
    <w:rsid w:val="00DB6C46"/>
    <w:rsid w:val="00DB72B8"/>
    <w:rsid w:val="00DC16AF"/>
    <w:rsid w:val="00DC2480"/>
    <w:rsid w:val="00DC2A9A"/>
    <w:rsid w:val="00DC2E2E"/>
    <w:rsid w:val="00DC4D68"/>
    <w:rsid w:val="00DC5B7B"/>
    <w:rsid w:val="00DC6463"/>
    <w:rsid w:val="00DC7822"/>
    <w:rsid w:val="00DC7AF1"/>
    <w:rsid w:val="00DD18FD"/>
    <w:rsid w:val="00DD2D92"/>
    <w:rsid w:val="00DD3026"/>
    <w:rsid w:val="00DD33DC"/>
    <w:rsid w:val="00DD3BB0"/>
    <w:rsid w:val="00DD61F5"/>
    <w:rsid w:val="00DE3223"/>
    <w:rsid w:val="00DE64A6"/>
    <w:rsid w:val="00DE66EB"/>
    <w:rsid w:val="00DE7035"/>
    <w:rsid w:val="00DF08B1"/>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4595"/>
    <w:rsid w:val="00E354DA"/>
    <w:rsid w:val="00E354F5"/>
    <w:rsid w:val="00E3687E"/>
    <w:rsid w:val="00E372DD"/>
    <w:rsid w:val="00E40974"/>
    <w:rsid w:val="00E40A5C"/>
    <w:rsid w:val="00E40AAB"/>
    <w:rsid w:val="00E40C26"/>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5C00"/>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5E4C"/>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24D9"/>
    <w:rsid w:val="00EC3CB4"/>
    <w:rsid w:val="00EC443E"/>
    <w:rsid w:val="00EC4D83"/>
    <w:rsid w:val="00EC4EEE"/>
    <w:rsid w:val="00EC634F"/>
    <w:rsid w:val="00EC6D29"/>
    <w:rsid w:val="00EC7B97"/>
    <w:rsid w:val="00ED049C"/>
    <w:rsid w:val="00ED07B7"/>
    <w:rsid w:val="00ED19D7"/>
    <w:rsid w:val="00ED2167"/>
    <w:rsid w:val="00ED351E"/>
    <w:rsid w:val="00ED4063"/>
    <w:rsid w:val="00ED4B27"/>
    <w:rsid w:val="00ED543C"/>
    <w:rsid w:val="00ED670A"/>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2EC"/>
    <w:rsid w:val="00F27D7D"/>
    <w:rsid w:val="00F3002B"/>
    <w:rsid w:val="00F30BC9"/>
    <w:rsid w:val="00F31E57"/>
    <w:rsid w:val="00F32462"/>
    <w:rsid w:val="00F32FF7"/>
    <w:rsid w:val="00F33EDE"/>
    <w:rsid w:val="00F3568B"/>
    <w:rsid w:val="00F3725A"/>
    <w:rsid w:val="00F377CD"/>
    <w:rsid w:val="00F40C3B"/>
    <w:rsid w:val="00F40CE0"/>
    <w:rsid w:val="00F41166"/>
    <w:rsid w:val="00F41BDD"/>
    <w:rsid w:val="00F42DBC"/>
    <w:rsid w:val="00F4308D"/>
    <w:rsid w:val="00F44012"/>
    <w:rsid w:val="00F44947"/>
    <w:rsid w:val="00F458EF"/>
    <w:rsid w:val="00F47121"/>
    <w:rsid w:val="00F4775D"/>
    <w:rsid w:val="00F504DD"/>
    <w:rsid w:val="00F50874"/>
    <w:rsid w:val="00F516C6"/>
    <w:rsid w:val="00F52221"/>
    <w:rsid w:val="00F52B28"/>
    <w:rsid w:val="00F53176"/>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8DD"/>
    <w:rsid w:val="00FC5A37"/>
    <w:rsid w:val="00FC7223"/>
    <w:rsid w:val="00FD0F60"/>
    <w:rsid w:val="00FD13EA"/>
    <w:rsid w:val="00FD1EB5"/>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uiPriority w:val="99"/>
    <w:rsid w:val="005B64CB"/>
    <w:pPr>
      <w:tabs>
        <w:tab w:val="center" w:pos="4536"/>
        <w:tab w:val="right" w:pos="9072"/>
      </w:tabs>
    </w:pPr>
  </w:style>
  <w:style w:type="table" w:styleId="Tabellrutnt">
    <w:name w:val="Table Grid"/>
    <w:basedOn w:val="Normaltabel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uiPriority w:val="99"/>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Cha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uiPriority w:val="99"/>
    <w:rsid w:val="002D6E1A"/>
    <w:rPr>
      <w:rFonts w:ascii="Georgia" w:hAnsi="Georgia"/>
      <w:sz w:val="22"/>
      <w:szCs w:val="24"/>
      <w:lang w:eastAsia="de-DE"/>
    </w:rPr>
  </w:style>
  <w:style w:type="character" w:customStyle="1" w:styleId="SidfotChar">
    <w:name w:val="Sidfot Char"/>
    <w:link w:val="Sidfot"/>
    <w:uiPriority w:val="99"/>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Arial" w:hAnsi="Arial"/>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iskretbetoning">
    <w:name w:val="Subtle Emphasis"/>
    <w:aliases w:val="Question,Text,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rdstycketeckensnit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rdstycketeckensnitt"/>
    <w:link w:val="Questionstyle"/>
    <w:rsid w:val="008701E5"/>
    <w:rPr>
      <w:rFonts w:asciiTheme="minorHAnsi" w:eastAsiaTheme="minorEastAsia" w:hAnsiTheme="minorHAnsi" w:cstheme="minorBidi"/>
      <w:b/>
      <w:sz w:val="22"/>
      <w:lang w:eastAsia="en-US"/>
    </w:rPr>
  </w:style>
  <w:style w:type="paragraph" w:styleId="Underrubrik">
    <w:name w:val="Subtitle"/>
    <w:basedOn w:val="Normal"/>
    <w:next w:val="Normal"/>
    <w:link w:val="Underrubrik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derrubrikChar">
    <w:name w:val="Underrubrik Char"/>
    <w:basedOn w:val="Standardstycketeckensnitt"/>
    <w:link w:val="Underrubrik"/>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stycke"/>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Standardstycketeckensnit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Standardstycketeckensnit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stycke"/>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
    <w:link w:val="Fotnotsreferens"/>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eiopa.europa.eu/Pages/Links/Legal-notice.aspx"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ba.europa.eu/legal-notice" TargetMode="External"/><Relationship Id="rId2" Type="http://schemas.openxmlformats.org/officeDocument/2006/relationships/customXml" Target="../customXml/item2.xml"/><Relationship Id="rId16" Type="http://schemas.openxmlformats.org/officeDocument/2006/relationships/hyperlink" Target="https://www.esma.europa.eu/press-news/consultation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sma.europa.eu/legal-notic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e038d8b-eef4-4a8e-96f8-403daa5a894a"/>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167577-D210-4D46-94B8-030AD3677564}">
  <ds:schemaRefs>
    <ds:schemaRef ds:uri="http://schemas.openxmlformats.org/officeDocument/2006/bibliography"/>
  </ds:schemaRefs>
</ds:datastoreItem>
</file>

<file path=customXml/itemProps6.xml><?xml version="1.0" encoding="utf-8"?>
<ds:datastoreItem xmlns:ds="http://schemas.openxmlformats.org/officeDocument/2006/customXml" ds:itemID="{F8D43888-C0C7-4B9E-9D53-7E30B37F9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4651</Words>
  <Characters>25166</Characters>
  <Application>Microsoft Office Word</Application>
  <DocSecurity>8</DocSecurity>
  <Lines>209</Lines>
  <Paragraphs>59</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TR portability CP under EMIR</vt:lpstr>
      <vt:lpstr>Reply form for the TR portability CP under EMIR</vt:lpstr>
      <vt:lpstr>20110000</vt:lpstr>
      <vt:lpstr>20110000</vt:lpstr>
      <vt:lpstr>20110000</vt:lpstr>
      <vt:lpstr>20110000</vt:lpstr>
    </vt:vector>
  </TitlesOfParts>
  <Company>ESMA</Company>
  <LinksUpToDate>false</LinksUpToDate>
  <CharactersWithSpaces>29758</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Fredrik Pettersson</cp:lastModifiedBy>
  <cp:revision>10</cp:revision>
  <cp:lastPrinted>2019-12-12T07:45:00Z</cp:lastPrinted>
  <dcterms:created xsi:type="dcterms:W3CDTF">2019-12-13T08:55:00Z</dcterms:created>
  <dcterms:modified xsi:type="dcterms:W3CDTF">2019-12-19T10:04:00Z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