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C5BAB">
        <w:tc>
          <w:tcPr>
            <w:tcW w:w="3929" w:type="dxa"/>
            <w:shd w:val="clear" w:color="auto" w:fill="auto"/>
          </w:tcPr>
          <w:p w14:paraId="6A3CB050" w14:textId="77777777" w:rsidR="00B327E9" w:rsidRPr="00E40A5C" w:rsidRDefault="00B327E9" w:rsidP="00FC5BAB">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8F7CC34" w:rsidR="00B327E9" w:rsidRPr="00AB6D88" w:rsidRDefault="00371170" w:rsidP="00FC5BAB">
                <w:pPr>
                  <w:rPr>
                    <w:rStyle w:val="PlaceholderText"/>
                    <w:rFonts w:cs="Arial"/>
                  </w:rPr>
                </w:pPr>
                <w:r>
                  <w:rPr>
                    <w:rStyle w:val="PlaceholderText"/>
                    <w:rFonts w:cs="Arial"/>
                  </w:rPr>
                  <w:t>FE fundinfo</w:t>
                </w:r>
              </w:p>
            </w:tc>
          </w:sdtContent>
        </w:sdt>
      </w:tr>
      <w:tr w:rsidR="00B327E9" w:rsidRPr="00AB6D88" w14:paraId="6A3CB055" w14:textId="77777777" w:rsidTr="00FC5BAB">
        <w:tc>
          <w:tcPr>
            <w:tcW w:w="3929" w:type="dxa"/>
            <w:shd w:val="clear" w:color="auto" w:fill="auto"/>
          </w:tcPr>
          <w:p w14:paraId="6A3CB053" w14:textId="77777777" w:rsidR="00B327E9" w:rsidRPr="00E40A5C" w:rsidRDefault="00B327E9" w:rsidP="00FC5BAB">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0682E79" w:rsidR="00B327E9" w:rsidRPr="00AB6D88" w:rsidRDefault="00E36734" w:rsidP="00FC5BA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71170">
                  <w:rPr>
                    <w:rFonts w:cs="Arial"/>
                  </w:rPr>
                  <w:t>Other Financial service providers</w:t>
                </w:r>
              </w:sdtContent>
            </w:sdt>
          </w:p>
        </w:tc>
      </w:tr>
      <w:tr w:rsidR="00B327E9" w:rsidRPr="00AB6D88" w14:paraId="6A3CB058" w14:textId="77777777" w:rsidTr="00FC5BAB">
        <w:tc>
          <w:tcPr>
            <w:tcW w:w="3929" w:type="dxa"/>
            <w:shd w:val="clear" w:color="auto" w:fill="auto"/>
          </w:tcPr>
          <w:p w14:paraId="6A3CB056" w14:textId="77777777" w:rsidR="00B327E9" w:rsidRPr="00E40A5C" w:rsidRDefault="00B327E9" w:rsidP="00FC5BAB">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C5BAB">
                <w:pPr>
                  <w:rPr>
                    <w:rFonts w:cs="Arial"/>
                  </w:rPr>
                </w:pPr>
                <w:r>
                  <w:rPr>
                    <w:rFonts w:ascii="MS Gothic" w:eastAsia="MS Gothic" w:hAnsi="MS Gothic" w:cs="Arial" w:hint="eastAsia"/>
                  </w:rPr>
                  <w:t>☐</w:t>
                </w:r>
              </w:p>
            </w:tc>
          </w:sdtContent>
        </w:sdt>
      </w:tr>
      <w:tr w:rsidR="00B327E9" w:rsidRPr="00AB6D88" w14:paraId="6A3CB05B" w14:textId="77777777" w:rsidTr="00FC5BAB">
        <w:tc>
          <w:tcPr>
            <w:tcW w:w="3929" w:type="dxa"/>
            <w:shd w:val="clear" w:color="auto" w:fill="auto"/>
          </w:tcPr>
          <w:p w14:paraId="6A3CB059" w14:textId="77777777" w:rsidR="00B327E9" w:rsidRPr="00E40A5C" w:rsidRDefault="00B327E9" w:rsidP="00FC5BAB">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917A27F" w:rsidR="00B327E9" w:rsidRPr="00AB6D88" w:rsidRDefault="00371170" w:rsidP="00FC5BAB">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2275EE8A" w14:textId="214CF38F" w:rsidR="00746DA2" w:rsidRDefault="00746DA2" w:rsidP="00B327E9">
      <w:permStart w:id="411981036" w:edGrp="everyone"/>
      <w:r w:rsidRPr="00746DA2">
        <w:t>FE fundinfo is a fund data and technology leader, facilitating better, more efficient investing by connecting fund managers and fund distributors and enabling them to share and act on trusted, insightful information. We provide the data, tools, infrastructure and expertise required to research, distribute, market and invest in funds and model portfolios – maximising efficiencies for fund managers and fund distributors through our unique cloud platform.</w:t>
      </w:r>
    </w:p>
    <w:p w14:paraId="20287D1C" w14:textId="44DD9C87" w:rsidR="00746DA2" w:rsidRDefault="00746DA2" w:rsidP="00B327E9"/>
    <w:p w14:paraId="04CAD019" w14:textId="68CD6E25" w:rsidR="00746DA2" w:rsidRDefault="00746DA2" w:rsidP="00B327E9">
      <w:r>
        <w:t xml:space="preserve">As far as possible, we have considered the impact of the current PRIIPs KID regulation and the proposed changes on UCITS and NURS as well, as the presentation and content of PRIIPs KIDs will </w:t>
      </w:r>
      <w:r w:rsidR="003747A6">
        <w:t xml:space="preserve">affect </w:t>
      </w:r>
      <w:r>
        <w:t xml:space="preserve">them </w:t>
      </w:r>
      <w:r w:rsidR="00A44CF6">
        <w:t xml:space="preserve">from </w:t>
      </w:r>
      <w:r>
        <w:t>the end of 2021.</w:t>
      </w:r>
    </w:p>
    <w:permEnd w:id="411981036"/>
    <w:p w14:paraId="6A3CB062" w14:textId="69D81A4D"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0A4881F1" w:rsidR="003E573C" w:rsidRDefault="00371170" w:rsidP="003E573C">
      <w:pPr>
        <w:rPr>
          <w:rFonts w:cs="Arial"/>
        </w:rPr>
      </w:pPr>
      <w:permStart w:id="729947415" w:edGrp="everyone"/>
      <w:r>
        <w:rPr>
          <w:rFonts w:cs="Arial"/>
        </w:rPr>
        <w:t>We agree with this suggestion.</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CF7AB1E" w:rsidR="003E573C" w:rsidRDefault="00D65678" w:rsidP="003E573C">
      <w:pPr>
        <w:rPr>
          <w:rFonts w:cs="Arial"/>
        </w:rPr>
      </w:pPr>
      <w:permStart w:id="677205538" w:edGrp="everyone"/>
      <w:r>
        <w:rPr>
          <w:rFonts w:cs="Arial"/>
        </w:rPr>
        <w:t xml:space="preserve">As </w:t>
      </w:r>
      <w:r w:rsidR="006220EB">
        <w:rPr>
          <w:rFonts w:cs="Arial"/>
        </w:rPr>
        <w:t>the PRIIPs KID has been widely criticised</w:t>
      </w:r>
      <w:r>
        <w:rPr>
          <w:rFonts w:cs="Arial"/>
        </w:rPr>
        <w:t xml:space="preserve"> </w:t>
      </w:r>
      <w:r w:rsidR="008A33CC">
        <w:rPr>
          <w:rFonts w:cs="Arial"/>
        </w:rPr>
        <w:t>for</w:t>
      </w:r>
      <w:r>
        <w:rPr>
          <w:rFonts w:cs="Arial"/>
        </w:rPr>
        <w:t xml:space="preserve"> being misleading, we </w:t>
      </w:r>
      <w:r w:rsidR="00AD49CB">
        <w:rPr>
          <w:rFonts w:cs="Arial"/>
        </w:rPr>
        <w:t xml:space="preserve">do not </w:t>
      </w:r>
      <w:r>
        <w:rPr>
          <w:rFonts w:cs="Arial"/>
        </w:rPr>
        <w:t xml:space="preserve">believe there </w:t>
      </w:r>
      <w:r w:rsidR="00AD49CB">
        <w:rPr>
          <w:rFonts w:cs="Arial"/>
        </w:rPr>
        <w:t xml:space="preserve">would be any </w:t>
      </w:r>
      <w:r>
        <w:rPr>
          <w:rFonts w:cs="Arial"/>
        </w:rPr>
        <w:t xml:space="preserve">benefit from </w:t>
      </w:r>
      <w:r w:rsidR="008A33CC">
        <w:rPr>
          <w:rFonts w:cs="Arial"/>
        </w:rPr>
        <w:t>waiting until the end of</w:t>
      </w:r>
      <w:r>
        <w:rPr>
          <w:rFonts w:cs="Arial"/>
        </w:rPr>
        <w:t xml:space="preserve"> the UCITS exemption</w:t>
      </w:r>
      <w:r w:rsidR="008A33CC">
        <w:rPr>
          <w:rFonts w:cs="Arial"/>
        </w:rPr>
        <w:t xml:space="preserve"> to introduce </w:t>
      </w:r>
      <w:r w:rsidR="007E17A1">
        <w:rPr>
          <w:rFonts w:cs="Arial"/>
        </w:rPr>
        <w:t xml:space="preserve">any </w:t>
      </w:r>
      <w:r w:rsidR="008A33CC">
        <w:rPr>
          <w:rFonts w:cs="Arial"/>
        </w:rPr>
        <w:t>meaningful changes</w:t>
      </w:r>
      <w:r>
        <w:rPr>
          <w:rFonts w:cs="Arial"/>
        </w:rPr>
        <w:t>,</w:t>
      </w:r>
      <w:r w:rsidR="008A33CC">
        <w:rPr>
          <w:rFonts w:cs="Arial"/>
        </w:rPr>
        <w:t xml:space="preserve"> unless </w:t>
      </w:r>
      <w:r w:rsidR="00415A8C">
        <w:rPr>
          <w:rFonts w:cs="Arial"/>
        </w:rPr>
        <w:t xml:space="preserve">PRIIPs </w:t>
      </w:r>
      <w:r w:rsidR="00041F34">
        <w:rPr>
          <w:rFonts w:cs="Arial"/>
        </w:rPr>
        <w:t xml:space="preserve">KIDs </w:t>
      </w:r>
      <w:r w:rsidR="00D31B10">
        <w:rPr>
          <w:rFonts w:cs="Arial"/>
        </w:rPr>
        <w:t>a</w:t>
      </w:r>
      <w:r w:rsidR="008A33CC">
        <w:rPr>
          <w:rFonts w:cs="Arial"/>
        </w:rPr>
        <w:t>re to be withdrawn in the meantime</w:t>
      </w:r>
      <w:r w:rsidR="00415A8C">
        <w:rPr>
          <w:rFonts w:cs="Arial"/>
        </w:rPr>
        <w:t>.  U</w:t>
      </w:r>
      <w:r w:rsidR="007E17A1">
        <w:rPr>
          <w:rFonts w:cs="Arial"/>
        </w:rPr>
        <w:t xml:space="preserve">pdating PRIIPs KIDs and ending the UCITS exemption </w:t>
      </w:r>
      <w:r w:rsidR="008A33CC">
        <w:rPr>
          <w:rFonts w:cs="Arial"/>
        </w:rPr>
        <w:t xml:space="preserve">are two </w:t>
      </w:r>
      <w:r w:rsidR="00415A8C">
        <w:rPr>
          <w:rFonts w:cs="Arial"/>
        </w:rPr>
        <w:t xml:space="preserve">separate </w:t>
      </w:r>
      <w:r w:rsidR="008A33CC">
        <w:rPr>
          <w:rFonts w:cs="Arial"/>
        </w:rPr>
        <w:t>issues</w:t>
      </w:r>
      <w:r>
        <w:rPr>
          <w:rFonts w:cs="Arial"/>
        </w:rPr>
        <w:t>.</w:t>
      </w:r>
      <w:r w:rsidR="00AD49CB">
        <w:rPr>
          <w:rFonts w:cs="Arial"/>
        </w:rPr>
        <w:t xml:space="preserve">  </w:t>
      </w:r>
      <w:r w:rsidR="008A33CC">
        <w:rPr>
          <w:rFonts w:cs="Arial"/>
        </w:rPr>
        <w:t>F</w:t>
      </w:r>
      <w:r w:rsidR="00AD49CB">
        <w:rPr>
          <w:rFonts w:cs="Arial"/>
        </w:rPr>
        <w:t xml:space="preserve">or manufacturers with both PRIIPs and UCITS, </w:t>
      </w:r>
      <w:r w:rsidR="00D31B10">
        <w:rPr>
          <w:rFonts w:cs="Arial"/>
        </w:rPr>
        <w:t xml:space="preserve">it may be easier to allocate the necessary </w:t>
      </w:r>
      <w:r w:rsidR="00AD49CB">
        <w:rPr>
          <w:rFonts w:cs="Arial"/>
        </w:rPr>
        <w:t xml:space="preserve">resources if they don’t need to </w:t>
      </w:r>
      <w:r w:rsidR="00D31B10">
        <w:rPr>
          <w:rFonts w:cs="Arial"/>
        </w:rPr>
        <w:t xml:space="preserve">amend </w:t>
      </w:r>
      <w:r w:rsidR="00AD49CB">
        <w:rPr>
          <w:rFonts w:cs="Arial"/>
        </w:rPr>
        <w:t>their PRIIPs KIDs and convert their UCITS KIIDs at the same time.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2BFA6781" w:rsidR="003E573C" w:rsidRDefault="00D65678" w:rsidP="003E573C">
      <w:pPr>
        <w:rPr>
          <w:rFonts w:cs="Arial"/>
        </w:rPr>
      </w:pPr>
      <w:permStart w:id="1220688604" w:edGrp="everyone"/>
      <w:r>
        <w:rPr>
          <w:rFonts w:cs="Arial"/>
        </w:rPr>
        <w:t>Applying the changes in multiple waves would mean that (a) KIDs would need to be updated multiple times in a relatively short period of time and (b) additional system development would be needed at PRIIPs manufacturers</w:t>
      </w:r>
      <w:r w:rsidR="00D31B10">
        <w:rPr>
          <w:rFonts w:cs="Arial"/>
        </w:rPr>
        <w:t xml:space="preserve"> to accommodate multiple changes</w:t>
      </w:r>
      <w:r w:rsidR="007E17A1">
        <w:rPr>
          <w:rFonts w:cs="Arial"/>
        </w:rPr>
        <w:t>.  N</w:t>
      </w:r>
      <w:r w:rsidR="00AD49CB">
        <w:rPr>
          <w:rFonts w:cs="Arial"/>
        </w:rPr>
        <w:t xml:space="preserve">either of </w:t>
      </w:r>
      <w:r w:rsidR="007E17A1">
        <w:rPr>
          <w:rFonts w:cs="Arial"/>
        </w:rPr>
        <w:t xml:space="preserve">these </w:t>
      </w:r>
      <w:r>
        <w:rPr>
          <w:rFonts w:cs="Arial"/>
        </w:rPr>
        <w:t xml:space="preserve">would help retail customers </w:t>
      </w:r>
      <w:r w:rsidR="007E17A1">
        <w:rPr>
          <w:rFonts w:cs="Arial"/>
        </w:rPr>
        <w:t xml:space="preserve">with their understanding and would add to </w:t>
      </w:r>
      <w:r>
        <w:rPr>
          <w:rFonts w:cs="Arial"/>
        </w:rPr>
        <w:t xml:space="preserve">the costs and resources needed to produce the KIDs.  We therefore </w:t>
      </w:r>
      <w:r w:rsidR="00AD49CB">
        <w:rPr>
          <w:rFonts w:cs="Arial"/>
        </w:rPr>
        <w:t xml:space="preserve">believe </w:t>
      </w:r>
      <w:r>
        <w:rPr>
          <w:rFonts w:cs="Arial"/>
        </w:rPr>
        <w:t xml:space="preserve">that all changes </w:t>
      </w:r>
      <w:r w:rsidR="00AD49CB">
        <w:rPr>
          <w:rFonts w:cs="Arial"/>
        </w:rPr>
        <w:t xml:space="preserve">should be </w:t>
      </w:r>
      <w:r>
        <w:rPr>
          <w:rFonts w:cs="Arial"/>
        </w:rPr>
        <w:t>applied at the same time.</w:t>
      </w:r>
      <w:r w:rsidR="00D31B10">
        <w:rPr>
          <w:rFonts w:cs="Arial"/>
        </w:rPr>
        <w:t xml:space="preserve">  We are aware, however, that some changes may require changes to the Level 1 Regulation, such as the space needed to include past performance, and that these changes may need to be delayed until the end of the UCITS exemption (see our response to Q</w:t>
      </w:r>
      <w:r w:rsidR="0031069F">
        <w:rPr>
          <w:rFonts w:cs="Arial"/>
        </w:rPr>
        <w:t>3</w:t>
      </w:r>
      <w:r w:rsidR="00D31B10">
        <w:rPr>
          <w:rFonts w:cs="Arial"/>
        </w:rPr>
        <w:t>).</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0B1D961C" w:rsidR="003E573C" w:rsidRDefault="00284765" w:rsidP="003E573C">
      <w:pPr>
        <w:rPr>
          <w:rFonts w:cs="Arial"/>
        </w:rPr>
      </w:pPr>
      <w:permStart w:id="209390932" w:edGrp="everyone"/>
      <w:r>
        <w:rPr>
          <w:rFonts w:cs="Arial"/>
        </w:rPr>
        <w:t xml:space="preserve">We believe the </w:t>
      </w:r>
      <w:r w:rsidR="00677995">
        <w:rPr>
          <w:rFonts w:cs="Arial"/>
        </w:rPr>
        <w:t xml:space="preserve">need for a </w:t>
      </w:r>
      <w:r>
        <w:rPr>
          <w:rFonts w:cs="Arial"/>
        </w:rPr>
        <w:t xml:space="preserve">comprehension alert should be </w:t>
      </w:r>
      <w:r w:rsidR="00677995">
        <w:rPr>
          <w:rFonts w:cs="Arial"/>
        </w:rPr>
        <w:t xml:space="preserve">reviewed, as it should be </w:t>
      </w:r>
      <w:r>
        <w:rPr>
          <w:rFonts w:cs="Arial"/>
        </w:rPr>
        <w:t xml:space="preserve">reserved for a small number of </w:t>
      </w:r>
      <w:r w:rsidR="00677995">
        <w:rPr>
          <w:rFonts w:cs="Arial"/>
        </w:rPr>
        <w:t>PRIIPs</w:t>
      </w:r>
      <w:r>
        <w:rPr>
          <w:rFonts w:cs="Arial"/>
        </w:rPr>
        <w:t xml:space="preserve">, rather than for </w:t>
      </w:r>
      <w:r w:rsidR="00677995">
        <w:rPr>
          <w:rFonts w:cs="Arial"/>
        </w:rPr>
        <w:t>all</w:t>
      </w:r>
      <w:r>
        <w:rPr>
          <w:rFonts w:cs="Arial"/>
        </w:rPr>
        <w:t xml:space="preserve"> </w:t>
      </w:r>
      <w:r w:rsidR="00677995">
        <w:rPr>
          <w:rFonts w:cs="Arial"/>
        </w:rPr>
        <w:t>those</w:t>
      </w:r>
      <w:r>
        <w:rPr>
          <w:rFonts w:cs="Arial"/>
        </w:rPr>
        <w:t xml:space="preserve"> that do not satisfy the </w:t>
      </w:r>
      <w:r w:rsidR="00415A8C">
        <w:rPr>
          <w:rFonts w:cs="Arial"/>
        </w:rPr>
        <w:t>definition of</w:t>
      </w:r>
      <w:r>
        <w:rPr>
          <w:rFonts w:cs="Arial"/>
        </w:rPr>
        <w:t xml:space="preserve"> non-complex.  The current situation could either put </w:t>
      </w:r>
      <w:r w:rsidR="00706015">
        <w:rPr>
          <w:rFonts w:cs="Arial"/>
        </w:rPr>
        <w:t>consumers</w:t>
      </w:r>
      <w:r>
        <w:rPr>
          <w:rFonts w:cs="Arial"/>
        </w:rPr>
        <w:t xml:space="preserve"> off investing in suitable products or, alternatively, dilute the message</w:t>
      </w:r>
      <w:r w:rsidR="00677995">
        <w:rPr>
          <w:rFonts w:cs="Arial"/>
        </w:rPr>
        <w:t xml:space="preserve"> and reduce its impact</w:t>
      </w:r>
      <w:r>
        <w:rPr>
          <w:rFonts w:cs="Arial"/>
        </w:rPr>
        <w: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lastRenderedPageBreak/>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3564F0D2" w:rsidR="003E573C" w:rsidRDefault="00376823" w:rsidP="003E573C">
      <w:pPr>
        <w:rPr>
          <w:rFonts w:cs="Arial"/>
        </w:rPr>
      </w:pPr>
      <w:permStart w:id="418122716" w:edGrp="everyone"/>
      <w:r>
        <w:rPr>
          <w:rFonts w:cs="Arial"/>
        </w:rPr>
        <w:t>We agree with the proposal to remove the stress scenario</w:t>
      </w:r>
      <w:r w:rsidR="0004101A">
        <w:rPr>
          <w:rFonts w:cs="Arial"/>
        </w:rPr>
        <w:t>, as it currently makes the range of outcomes so broad as to be meaningless.  Including a line saying that there is no minimum guaranteed return (or</w:t>
      </w:r>
      <w:r w:rsidR="00415A8C">
        <w:rPr>
          <w:rFonts w:cs="Arial"/>
        </w:rPr>
        <w:t xml:space="preserve"> what</w:t>
      </w:r>
      <w:r w:rsidR="0004101A">
        <w:rPr>
          <w:rFonts w:cs="Arial"/>
        </w:rPr>
        <w:t xml:space="preserve"> the minimum guaranteed return</w:t>
      </w:r>
      <w:r w:rsidR="00415A8C">
        <w:rPr>
          <w:rFonts w:cs="Arial"/>
        </w:rPr>
        <w:t xml:space="preserve"> is</w:t>
      </w:r>
      <w:r w:rsidR="0004101A">
        <w:rPr>
          <w:rFonts w:cs="Arial"/>
        </w:rPr>
        <w:t>, if applicable) is a statement of fact and would not be seen as a likely or possible return.</w:t>
      </w:r>
    </w:p>
    <w:p w14:paraId="61ED15E8" w14:textId="1086FF3E" w:rsidR="009A6B1C" w:rsidRDefault="009A6B1C" w:rsidP="003E573C">
      <w:pPr>
        <w:rPr>
          <w:rFonts w:cs="Arial"/>
        </w:rPr>
      </w:pPr>
    </w:p>
    <w:p w14:paraId="25FA9CCE" w14:textId="40686DB9" w:rsidR="009A6B1C" w:rsidRDefault="009A6B1C" w:rsidP="003E573C">
      <w:pPr>
        <w:rPr>
          <w:rFonts w:cs="Arial"/>
        </w:rPr>
      </w:pPr>
      <w:r>
        <w:rPr>
          <w:rFonts w:cs="Arial"/>
        </w:rPr>
        <w:t xml:space="preserve">We believe that removal of the intermediate periods from the performance tables reinforces the </w:t>
      </w:r>
      <w:r w:rsidR="002234E3">
        <w:rPr>
          <w:rFonts w:cs="Arial"/>
        </w:rPr>
        <w:t xml:space="preserve">message on </w:t>
      </w:r>
      <w:r>
        <w:rPr>
          <w:rFonts w:cs="Arial"/>
        </w:rPr>
        <w:t xml:space="preserve">investing for the </w:t>
      </w:r>
      <w:r w:rsidR="00934081">
        <w:rPr>
          <w:rFonts w:cs="Arial"/>
        </w:rPr>
        <w:t xml:space="preserve">minimum </w:t>
      </w:r>
      <w:r>
        <w:rPr>
          <w:rFonts w:cs="Arial"/>
        </w:rPr>
        <w:t>recommended holding period</w:t>
      </w:r>
      <w:r w:rsidR="00934081">
        <w:rPr>
          <w:rFonts w:cs="Arial"/>
        </w:rPr>
        <w:t>.</w:t>
      </w:r>
    </w:p>
    <w:p w14:paraId="6EB6A995" w14:textId="7C086194" w:rsidR="0004101A" w:rsidRDefault="0004101A" w:rsidP="003E573C">
      <w:pPr>
        <w:rPr>
          <w:rFonts w:cs="Arial"/>
        </w:rPr>
      </w:pPr>
    </w:p>
    <w:p w14:paraId="68945709" w14:textId="1FCC14D1" w:rsidR="0004101A" w:rsidRDefault="0004101A" w:rsidP="003E573C">
      <w:pPr>
        <w:rPr>
          <w:rFonts w:cs="Arial"/>
        </w:rPr>
      </w:pPr>
      <w:r>
        <w:rPr>
          <w:rFonts w:cs="Arial"/>
        </w:rPr>
        <w:t xml:space="preserve">We </w:t>
      </w:r>
      <w:r w:rsidR="009A6B1C">
        <w:rPr>
          <w:rFonts w:cs="Arial"/>
        </w:rPr>
        <w:t xml:space="preserve">also </w:t>
      </w:r>
      <w:r>
        <w:rPr>
          <w:rFonts w:cs="Arial"/>
        </w:rPr>
        <w:t>support the inclusion of past performance, in addition to the future scenarios,</w:t>
      </w:r>
      <w:r w:rsidR="009A6B1C">
        <w:rPr>
          <w:rFonts w:cs="Arial"/>
        </w:rPr>
        <w:t xml:space="preserve"> particularly </w:t>
      </w:r>
      <w:r>
        <w:rPr>
          <w:rFonts w:cs="Arial"/>
        </w:rPr>
        <w:t xml:space="preserve">if </w:t>
      </w:r>
      <w:r w:rsidR="009A6B1C">
        <w:rPr>
          <w:rFonts w:cs="Arial"/>
        </w:rPr>
        <w:t xml:space="preserve">a reference rate </w:t>
      </w:r>
      <w:r w:rsidR="002234E3">
        <w:rPr>
          <w:rFonts w:cs="Arial"/>
        </w:rPr>
        <w:t xml:space="preserve">and risk premium are </w:t>
      </w:r>
      <w:r w:rsidR="009A6B1C">
        <w:rPr>
          <w:rFonts w:cs="Arial"/>
        </w:rPr>
        <w:t>used.</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64E42C24" w:rsidR="003E573C" w:rsidRDefault="0004101A" w:rsidP="003E573C">
      <w:pPr>
        <w:rPr>
          <w:rFonts w:cs="Arial"/>
        </w:rPr>
      </w:pPr>
      <w:permStart w:id="569465455" w:edGrp="everyone"/>
      <w:r>
        <w:rPr>
          <w:rFonts w:cs="Arial"/>
        </w:rPr>
        <w:t>We have no view on this.</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28342BC7" w:rsidR="003E573C" w:rsidRDefault="00706015" w:rsidP="003E573C">
      <w:pPr>
        <w:rPr>
          <w:rFonts w:cs="Arial"/>
        </w:rPr>
      </w:pPr>
      <w:permStart w:id="1713528049" w:edGrp="everyone"/>
      <w:r>
        <w:rPr>
          <w:rFonts w:cs="Arial"/>
        </w:rPr>
        <w:t xml:space="preserve">We believe that if the </w:t>
      </w:r>
      <w:r w:rsidR="009A6B1C">
        <w:rPr>
          <w:rFonts w:cs="Arial"/>
        </w:rPr>
        <w:t xml:space="preserve">range of returns shown between the </w:t>
      </w:r>
      <w:r>
        <w:rPr>
          <w:rFonts w:cs="Arial"/>
        </w:rPr>
        <w:t xml:space="preserve">favourable and unfavourable scenarios </w:t>
      </w:r>
      <w:r w:rsidR="009A6B1C">
        <w:rPr>
          <w:rFonts w:cs="Arial"/>
        </w:rPr>
        <w:t>are</w:t>
      </w:r>
      <w:r>
        <w:rPr>
          <w:rFonts w:cs="Arial"/>
        </w:rPr>
        <w:t xml:space="preserve"> more realistic</w:t>
      </w:r>
      <w:r w:rsidR="00CB1127">
        <w:rPr>
          <w:rFonts w:cs="Arial"/>
        </w:rPr>
        <w:t xml:space="preserve"> than at present</w:t>
      </w:r>
      <w:r>
        <w:rPr>
          <w:rFonts w:cs="Arial"/>
        </w:rPr>
        <w:t xml:space="preserve">, there </w:t>
      </w:r>
      <w:r w:rsidR="009A6B1C">
        <w:rPr>
          <w:rFonts w:cs="Arial"/>
        </w:rPr>
        <w:t xml:space="preserve">is </w:t>
      </w:r>
      <w:r>
        <w:rPr>
          <w:rFonts w:cs="Arial"/>
        </w:rPr>
        <w:t>no need for a stress scenario.</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15A214F9" w:rsidR="003E573C" w:rsidRDefault="00C974EC" w:rsidP="003E573C">
      <w:pPr>
        <w:rPr>
          <w:rFonts w:cs="Arial"/>
        </w:rPr>
      </w:pPr>
      <w:permStart w:id="221670941" w:edGrp="everyone"/>
      <w:r>
        <w:rPr>
          <w:rFonts w:cs="Arial"/>
        </w:rPr>
        <w:t>Yes</w:t>
      </w:r>
      <w:r w:rsidR="00A1703A">
        <w:rPr>
          <w:rFonts w:cs="Arial"/>
        </w:rPr>
        <w:t>.</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5500B13C" w:rsidR="003E573C" w:rsidRDefault="00CB1127" w:rsidP="003E573C">
      <w:pPr>
        <w:rPr>
          <w:rFonts w:cs="Arial"/>
        </w:rPr>
      </w:pPr>
      <w:permStart w:id="610013876" w:edGrp="everyone"/>
      <w:r>
        <w:rPr>
          <w:rFonts w:cs="Arial"/>
        </w:rPr>
        <w:t>We</w:t>
      </w:r>
      <w:r w:rsidR="00A1703A">
        <w:rPr>
          <w:rFonts w:cs="Arial"/>
        </w:rPr>
        <w:t xml:space="preserve"> agree </w:t>
      </w:r>
      <w:r w:rsidR="0057669F">
        <w:rPr>
          <w:rFonts w:cs="Arial"/>
        </w:rPr>
        <w:t xml:space="preserve">with this </w:t>
      </w:r>
      <w:r>
        <w:rPr>
          <w:rFonts w:cs="Arial"/>
        </w:rPr>
        <w:t xml:space="preserve">approach, as it is less reliant on the </w:t>
      </w:r>
      <w:r w:rsidR="00A1703A">
        <w:rPr>
          <w:rFonts w:cs="Arial"/>
        </w:rPr>
        <w:t xml:space="preserve">recent past </w:t>
      </w:r>
      <w:r>
        <w:rPr>
          <w:rFonts w:cs="Arial"/>
        </w:rPr>
        <w:t xml:space="preserve">performance of the PRIIP, which has been shown to be </w:t>
      </w:r>
      <w:r w:rsidR="0057669F">
        <w:rPr>
          <w:rFonts w:cs="Arial"/>
        </w:rPr>
        <w:t xml:space="preserve">pro-cyclical and </w:t>
      </w:r>
      <w:r>
        <w:rPr>
          <w:rFonts w:cs="Arial"/>
        </w:rPr>
        <w:t>negatively correlated to future return</w:t>
      </w:r>
      <w:r w:rsidR="00BC6D8D">
        <w:rPr>
          <w:rFonts w:cs="Arial"/>
        </w:rPr>
        <w:t>s</w:t>
      </w:r>
      <w:r>
        <w:rPr>
          <w:rFonts w:cs="Arial"/>
        </w:rPr>
        <w:t>.</w:t>
      </w:r>
    </w:p>
    <w:p w14:paraId="0D8B2FEC" w14:textId="72D1C24D" w:rsidR="002234E3" w:rsidRDefault="002234E3" w:rsidP="003E573C">
      <w:pPr>
        <w:rPr>
          <w:rFonts w:cs="Arial"/>
        </w:rPr>
      </w:pPr>
    </w:p>
    <w:p w14:paraId="741804FF" w14:textId="2399201B" w:rsidR="002234E3" w:rsidRDefault="002234E3" w:rsidP="003E573C">
      <w:pPr>
        <w:rPr>
          <w:rFonts w:cs="Arial"/>
        </w:rPr>
      </w:pPr>
      <w:r>
        <w:rPr>
          <w:rFonts w:cs="Arial"/>
        </w:rPr>
        <w:t xml:space="preserve">It is important that the costs of producing the performance scenarios do not increase substantially, as would be the case if all manufacturers need to obtain index licences </w:t>
      </w:r>
      <w:r w:rsidR="00D525C1">
        <w:rPr>
          <w:rFonts w:cs="Arial"/>
        </w:rPr>
        <w:t>only for the dividend yield history.  If the ESAs are to provide pro forma risk premium rates for each asset class by country, this w</w:t>
      </w:r>
      <w:r w:rsidR="004725CA">
        <w:rPr>
          <w:rFonts w:cs="Arial"/>
        </w:rPr>
        <w:t>ould</w:t>
      </w:r>
      <w:r w:rsidR="00D525C1">
        <w:rPr>
          <w:rFonts w:cs="Arial"/>
        </w:rPr>
        <w:t xml:space="preserve"> not become a problem for smaller manufacturers.</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14DE00A5" w:rsidR="003E573C" w:rsidRDefault="0057669F" w:rsidP="003E573C">
      <w:pPr>
        <w:rPr>
          <w:rFonts w:cs="Arial"/>
        </w:rPr>
      </w:pPr>
      <w:permStart w:id="790175202" w:edGrp="everyone"/>
      <w:r>
        <w:rPr>
          <w:rFonts w:cs="Arial"/>
        </w:rPr>
        <w:t>I</w:t>
      </w:r>
      <w:r w:rsidR="0031069F">
        <w:rPr>
          <w:rFonts w:cs="Arial"/>
        </w:rPr>
        <w:t xml:space="preserve">f this method is adopted, </w:t>
      </w:r>
      <w:r>
        <w:rPr>
          <w:rFonts w:cs="Arial"/>
        </w:rPr>
        <w:t xml:space="preserve">we believe that </w:t>
      </w:r>
      <w:r w:rsidR="00A1703A">
        <w:rPr>
          <w:rFonts w:cs="Arial"/>
        </w:rPr>
        <w:t>dividend rates should be supplied by a</w:t>
      </w:r>
      <w:r w:rsidR="002234E3">
        <w:rPr>
          <w:rFonts w:cs="Arial"/>
        </w:rPr>
        <w:t xml:space="preserve">n independent </w:t>
      </w:r>
      <w:r w:rsidR="00A1703A">
        <w:rPr>
          <w:rFonts w:cs="Arial"/>
        </w:rPr>
        <w:t xml:space="preserve">third party, or </w:t>
      </w:r>
      <w:r>
        <w:rPr>
          <w:rFonts w:cs="Arial"/>
        </w:rPr>
        <w:t xml:space="preserve">by a </w:t>
      </w:r>
      <w:r w:rsidR="00A1703A">
        <w:rPr>
          <w:rFonts w:cs="Arial"/>
        </w:rPr>
        <w:t xml:space="preserve">list of approved </w:t>
      </w:r>
      <w:r w:rsidR="002234E3">
        <w:rPr>
          <w:rFonts w:cs="Arial"/>
        </w:rPr>
        <w:t>third parties</w:t>
      </w:r>
      <w:r w:rsidR="00A1703A">
        <w:rPr>
          <w:rFonts w:cs="Arial"/>
        </w:rPr>
        <w:t xml:space="preserve">, as this will remove the opportunity for conflicting or subjective data.  </w:t>
      </w:r>
      <w:r w:rsidR="002234E3">
        <w:rPr>
          <w:rFonts w:cs="Arial"/>
        </w:rPr>
        <w:t>The longer historical d</w:t>
      </w:r>
      <w:r w:rsidR="00A1703A">
        <w:rPr>
          <w:rFonts w:cs="Arial"/>
        </w:rPr>
        <w:t xml:space="preserve">ata </w:t>
      </w:r>
      <w:r w:rsidR="002234E3">
        <w:rPr>
          <w:rFonts w:cs="Arial"/>
        </w:rPr>
        <w:t xml:space="preserve">is used, the less “noise” there is likely to be, but </w:t>
      </w:r>
      <w:r w:rsidR="001D63D8">
        <w:rPr>
          <w:rFonts w:cs="Arial"/>
        </w:rPr>
        <w:t xml:space="preserve">academic </w:t>
      </w:r>
      <w:r w:rsidR="00E36734">
        <w:rPr>
          <w:rFonts w:cs="Arial"/>
        </w:rPr>
        <w:t xml:space="preserve">research </w:t>
      </w:r>
      <w:r w:rsidR="002234E3">
        <w:rPr>
          <w:rFonts w:cs="Arial"/>
        </w:rPr>
        <w:t>has determined that the benefit of using 10 years’ data instead of 5 years’ is only marginal</w:t>
      </w:r>
      <w:r w:rsidR="004725CA">
        <w:rPr>
          <w:rFonts w:cs="Arial"/>
        </w:rPr>
        <w:t xml:space="preserve"> and monthly updates should be sufficient</w:t>
      </w:r>
      <w:r w:rsidR="002234E3">
        <w:rPr>
          <w:rFonts w:cs="Arial"/>
        </w:rPr>
        <w:t>.  M</w:t>
      </w:r>
      <w:r w:rsidR="00A1703A">
        <w:rPr>
          <w:rFonts w:cs="Arial"/>
        </w:rPr>
        <w:t xml:space="preserve">anufacturers should </w:t>
      </w:r>
      <w:r w:rsidR="00E36734">
        <w:rPr>
          <w:rFonts w:cs="Arial"/>
        </w:rPr>
        <w:t xml:space="preserve">monitor </w:t>
      </w:r>
      <w:r w:rsidR="00A81CEB">
        <w:rPr>
          <w:rFonts w:cs="Arial"/>
        </w:rPr>
        <w:t xml:space="preserve">the data on their KIDs </w:t>
      </w:r>
      <w:bookmarkStart w:id="2" w:name="_GoBack"/>
      <w:bookmarkEnd w:id="2"/>
      <w:r w:rsidR="002234E3">
        <w:rPr>
          <w:rFonts w:cs="Arial"/>
        </w:rPr>
        <w:t xml:space="preserve">and </w:t>
      </w:r>
      <w:r w:rsidR="00A81CEB">
        <w:rPr>
          <w:rFonts w:cs="Arial"/>
        </w:rPr>
        <w:t>if they have reason to believe the moderate scenario may have changed by a material (definition to be determined) amount.</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00ECA340" w:rsidR="003E573C" w:rsidRDefault="00A81CEB" w:rsidP="003E573C">
      <w:pPr>
        <w:rPr>
          <w:rFonts w:cs="Arial"/>
        </w:rPr>
      </w:pPr>
      <w:permStart w:id="1179406826" w:edGrp="everyone"/>
      <w:r>
        <w:rPr>
          <w:rFonts w:cs="Arial"/>
        </w:rPr>
        <w:t xml:space="preserve">We agree </w:t>
      </w:r>
      <w:r w:rsidR="007928D4">
        <w:rPr>
          <w:rFonts w:cs="Arial"/>
        </w:rPr>
        <w:t>with this approach</w:t>
      </w:r>
      <w:r w:rsidR="00DF1C4F">
        <w:rPr>
          <w:rFonts w:cs="Arial"/>
        </w:rPr>
        <w:t>, as long as the implied volatility of options on local sovereign bond futures is used, where they exist.</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1703D62E" w:rsidR="003E573C" w:rsidRDefault="00DF1C4F" w:rsidP="003E573C">
      <w:pPr>
        <w:rPr>
          <w:rFonts w:cs="Arial"/>
        </w:rPr>
      </w:pPr>
      <w:permStart w:id="1646396141" w:edGrp="everyone"/>
      <w:r>
        <w:rPr>
          <w:rFonts w:cs="Arial"/>
        </w:rPr>
        <w:t>We agree with the proposed methodology.</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6D6B4E13" w:rsidR="003E573C" w:rsidRDefault="006F6583" w:rsidP="003E573C">
      <w:pPr>
        <w:rPr>
          <w:rFonts w:cs="Arial"/>
        </w:rPr>
      </w:pPr>
      <w:permStart w:id="1271138379" w:edGrp="everyone"/>
      <w:r>
        <w:rPr>
          <w:rFonts w:cs="Arial"/>
        </w:rPr>
        <w:t>C</w:t>
      </w:r>
      <w:r w:rsidR="00774FA1">
        <w:rPr>
          <w:rFonts w:cs="Arial"/>
        </w:rPr>
        <w:t>riticism of the existing performance scenario methodologies ha</w:t>
      </w:r>
      <w:r>
        <w:rPr>
          <w:rFonts w:cs="Arial"/>
        </w:rPr>
        <w:t>s</w:t>
      </w:r>
      <w:r w:rsidR="00774FA1">
        <w:rPr>
          <w:rFonts w:cs="Arial"/>
        </w:rPr>
        <w:t xml:space="preserve"> </w:t>
      </w:r>
      <w:r w:rsidR="004725CA">
        <w:rPr>
          <w:rFonts w:cs="Arial"/>
        </w:rPr>
        <w:t xml:space="preserve">been about </w:t>
      </w:r>
      <w:r w:rsidR="00914B7B">
        <w:rPr>
          <w:rFonts w:cs="Arial"/>
        </w:rPr>
        <w:t>the pro</w:t>
      </w:r>
      <w:r w:rsidR="004725CA">
        <w:rPr>
          <w:rFonts w:cs="Arial"/>
        </w:rPr>
        <w:t>-</w:t>
      </w:r>
      <w:r w:rsidR="00914B7B">
        <w:rPr>
          <w:rFonts w:cs="Arial"/>
        </w:rPr>
        <w:t xml:space="preserve">cyclicality of </w:t>
      </w:r>
      <w:r w:rsidR="00774FA1">
        <w:rPr>
          <w:rFonts w:cs="Arial"/>
        </w:rPr>
        <w:t>all scenarios</w:t>
      </w:r>
      <w:r w:rsidR="00055BEF">
        <w:rPr>
          <w:rFonts w:cs="Arial"/>
        </w:rPr>
        <w:t>, making them</w:t>
      </w:r>
      <w:r w:rsidR="00774FA1">
        <w:rPr>
          <w:rFonts w:cs="Arial"/>
        </w:rPr>
        <w:t xml:space="preserve"> too optimist</w:t>
      </w:r>
      <w:r>
        <w:rPr>
          <w:rFonts w:cs="Arial"/>
        </w:rPr>
        <w:t>i</w:t>
      </w:r>
      <w:r w:rsidR="00774FA1">
        <w:rPr>
          <w:rFonts w:cs="Arial"/>
        </w:rPr>
        <w:t>c after a</w:t>
      </w:r>
      <w:r>
        <w:rPr>
          <w:rFonts w:cs="Arial"/>
        </w:rPr>
        <w:t xml:space="preserve"> period of positive returns or too pessimistic after a period of poor </w:t>
      </w:r>
      <w:r w:rsidR="00CC0E9D">
        <w:rPr>
          <w:rFonts w:cs="Arial"/>
        </w:rPr>
        <w:t>returns</w:t>
      </w:r>
      <w:r w:rsidR="00055BEF">
        <w:rPr>
          <w:rFonts w:cs="Arial"/>
        </w:rPr>
        <w:t>.  B</w:t>
      </w:r>
      <w:r w:rsidR="00706015">
        <w:rPr>
          <w:rFonts w:cs="Arial"/>
        </w:rPr>
        <w:t xml:space="preserve">oth of </w:t>
      </w:r>
      <w:r w:rsidR="00055BEF">
        <w:rPr>
          <w:rFonts w:cs="Arial"/>
        </w:rPr>
        <w:t xml:space="preserve">these </w:t>
      </w:r>
      <w:r w:rsidR="00706015">
        <w:rPr>
          <w:rFonts w:cs="Arial"/>
        </w:rPr>
        <w:t xml:space="preserve">are likely to be </w:t>
      </w:r>
      <w:r w:rsidR="0031069F">
        <w:rPr>
          <w:rFonts w:cs="Arial"/>
        </w:rPr>
        <w:t xml:space="preserve">negatively correlated </w:t>
      </w:r>
      <w:r w:rsidR="00706015">
        <w:rPr>
          <w:rFonts w:cs="Arial"/>
        </w:rPr>
        <w:t>to future returns</w:t>
      </w:r>
      <w:r w:rsidR="00CC0E9D">
        <w:rPr>
          <w:rFonts w:cs="Arial"/>
        </w:rPr>
        <w:t xml:space="preserve"> (as shown in the first chart in section 5.5.1 of the consultation)</w:t>
      </w:r>
      <w:r>
        <w:rPr>
          <w:rFonts w:cs="Arial"/>
        </w:rPr>
        <w:t xml:space="preserve">.  </w:t>
      </w:r>
      <w:r w:rsidR="0057669F">
        <w:rPr>
          <w:rFonts w:cs="Arial"/>
        </w:rPr>
        <w:t xml:space="preserve">The increased (and positive) correlation between the proposed methodology and actual returns should </w:t>
      </w:r>
      <w:r w:rsidR="00743B12">
        <w:rPr>
          <w:rFonts w:cs="Arial"/>
        </w:rPr>
        <w:t>remove the need for any compensatory mechanism.</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lastRenderedPageBreak/>
        <w:t>&lt;ESA_QUESTION_PKID_16&gt;</w:t>
      </w:r>
    </w:p>
    <w:p w14:paraId="7A4B7DC1" w14:textId="09EAFEE5" w:rsidR="003E573C" w:rsidRDefault="00743B12"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636A5736" w:rsidR="003E573C" w:rsidRDefault="00C17361" w:rsidP="003E573C">
      <w:pPr>
        <w:rPr>
          <w:rFonts w:cs="Arial"/>
        </w:rPr>
      </w:pPr>
      <w:permStart w:id="1687822303" w:edGrp="everyone"/>
      <w:r>
        <w:rPr>
          <w:rFonts w:cs="Arial"/>
        </w:rPr>
        <w:t xml:space="preserve">While this approach </w:t>
      </w:r>
      <w:r w:rsidR="00FF1AE4">
        <w:rPr>
          <w:rFonts w:cs="Arial"/>
        </w:rPr>
        <w:t xml:space="preserve">is likely to provide more “reasonable” projections, all products with a similar asset allocation will show </w:t>
      </w:r>
      <w:r w:rsidR="00DC3A46">
        <w:rPr>
          <w:rFonts w:cs="Arial"/>
        </w:rPr>
        <w:t xml:space="preserve">very </w:t>
      </w:r>
      <w:r w:rsidR="00FF1AE4">
        <w:rPr>
          <w:rFonts w:cs="Arial"/>
        </w:rPr>
        <w:t xml:space="preserve">similar projections (with differences </w:t>
      </w:r>
      <w:r w:rsidR="00B96C1F">
        <w:rPr>
          <w:rFonts w:cs="Arial"/>
        </w:rPr>
        <w:t xml:space="preserve">only due to </w:t>
      </w:r>
      <w:r w:rsidR="00FF1AE4">
        <w:rPr>
          <w:rFonts w:cs="Arial"/>
        </w:rPr>
        <w:t>costs and charges</w:t>
      </w:r>
      <w:r w:rsidR="00DC3A46">
        <w:rPr>
          <w:rFonts w:cs="Arial"/>
        </w:rPr>
        <w:t>) and n</w:t>
      </w:r>
      <w:r w:rsidR="00FF1AE4">
        <w:rPr>
          <w:rFonts w:cs="Arial"/>
        </w:rPr>
        <w:t>o account would be taken of the historical performance during different market conditions.  For example, two UK equity funds</w:t>
      </w:r>
      <w:r w:rsidR="006B02F9">
        <w:rPr>
          <w:rFonts w:cs="Arial"/>
        </w:rPr>
        <w:t xml:space="preserve"> with different management styles</w:t>
      </w:r>
      <w:r w:rsidR="00FF1AE4">
        <w:rPr>
          <w:rFonts w:cs="Arial"/>
        </w:rPr>
        <w:t xml:space="preserve"> </w:t>
      </w:r>
      <w:r w:rsidR="006B3970">
        <w:rPr>
          <w:rFonts w:cs="Arial"/>
        </w:rPr>
        <w:t xml:space="preserve">and different holdings </w:t>
      </w:r>
      <w:r w:rsidR="00FF1AE4">
        <w:rPr>
          <w:rFonts w:cs="Arial"/>
        </w:rPr>
        <w:t>will appear identical</w:t>
      </w:r>
      <w:r w:rsidR="00DC3A46">
        <w:rPr>
          <w:rFonts w:cs="Arial"/>
        </w:rPr>
        <w:t>. Displaying past performance as well would</w:t>
      </w:r>
      <w:r w:rsidR="006B02F9">
        <w:rPr>
          <w:rFonts w:cs="Arial"/>
        </w:rPr>
        <w:t xml:space="preserve"> show</w:t>
      </w:r>
      <w:r w:rsidR="00DC3A46">
        <w:rPr>
          <w:rFonts w:cs="Arial"/>
        </w:rPr>
        <w:t xml:space="preserve"> investors how the funds have performed in the market conditions that have prevailed over </w:t>
      </w:r>
      <w:r w:rsidR="006B02F9">
        <w:rPr>
          <w:rFonts w:cs="Arial"/>
        </w:rPr>
        <w:t xml:space="preserve">recent </w:t>
      </w:r>
      <w:r w:rsidR="00DC3A46">
        <w:rPr>
          <w:rFonts w:cs="Arial"/>
        </w:rPr>
        <w:t>years</w:t>
      </w:r>
      <w:r w:rsidR="006B3970">
        <w:rPr>
          <w:rFonts w:cs="Arial"/>
        </w:rPr>
        <w:t>, but would not make it clear that future performance will depend on stock selection</w:t>
      </w:r>
      <w:r w:rsidR="00DC3A46">
        <w:rPr>
          <w:rFonts w:cs="Arial"/>
        </w:rPr>
        <w:t>.</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5DF84D9C" w:rsidR="003E573C" w:rsidRDefault="006B02F9" w:rsidP="003E573C">
      <w:pPr>
        <w:rPr>
          <w:rFonts w:cs="Arial"/>
        </w:rPr>
      </w:pPr>
      <w:permStart w:id="669663577" w:edGrp="everyone"/>
      <w:r>
        <w:rPr>
          <w:rFonts w:cs="Arial"/>
        </w:rPr>
        <w:t xml:space="preserve">Any table of prescribed growth rates will mean that funds with similar asset allocation will show similar </w:t>
      </w:r>
      <w:r w:rsidR="00B96C1F">
        <w:rPr>
          <w:rFonts w:cs="Arial"/>
        </w:rPr>
        <w:t>“</w:t>
      </w:r>
      <w:r>
        <w:rPr>
          <w:rFonts w:cs="Arial"/>
        </w:rPr>
        <w:t>projections</w:t>
      </w:r>
      <w:r w:rsidR="00B96C1F">
        <w:rPr>
          <w:rFonts w:cs="Arial"/>
        </w:rPr>
        <w:t>”</w:t>
      </w:r>
      <w:r>
        <w:rPr>
          <w:rFonts w:cs="Arial"/>
        </w:rPr>
        <w:t>.  The broader the asset classes</w:t>
      </w:r>
      <w:r w:rsidR="00AE588E">
        <w:rPr>
          <w:rFonts w:cs="Arial"/>
        </w:rPr>
        <w:t>, the more funds th</w:t>
      </w:r>
      <w:r w:rsidR="00055BEF">
        <w:rPr>
          <w:rFonts w:cs="Arial"/>
        </w:rPr>
        <w:t>at</w:t>
      </w:r>
      <w:r w:rsidR="00AE588E">
        <w:rPr>
          <w:rFonts w:cs="Arial"/>
        </w:rPr>
        <w:t xml:space="preserve"> would appear similar.  If a table of prescribed growth rates is to be used, we believe it should strike a balance between granularity and </w:t>
      </w:r>
      <w:r w:rsidR="00C267C0">
        <w:rPr>
          <w:rFonts w:cs="Arial"/>
        </w:rPr>
        <w:t>ease of operation.</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3E2F67B8" w:rsidR="003E573C" w:rsidRDefault="003F357B" w:rsidP="003E573C">
      <w:pPr>
        <w:rPr>
          <w:rFonts w:cs="Arial"/>
        </w:rPr>
      </w:pPr>
      <w:permStart w:id="806708611" w:edGrp="everyone"/>
      <w:r>
        <w:rPr>
          <w:rFonts w:cs="Arial"/>
        </w:rPr>
        <w:t xml:space="preserve">FE fundinfo provides </w:t>
      </w:r>
      <w:r w:rsidR="001E2C7B">
        <w:rPr>
          <w:rFonts w:cs="Arial"/>
        </w:rPr>
        <w:t>solutions for Category 2 PRIIPs (linear products) only.</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lastRenderedPageBreak/>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064E4E2E" w14:textId="68B220B6" w:rsidR="00920ECF" w:rsidRDefault="00EE45AE" w:rsidP="003E573C">
      <w:pPr>
        <w:rPr>
          <w:rFonts w:cs="Arial"/>
        </w:rPr>
      </w:pPr>
      <w:permStart w:id="624894902" w:edGrp="everyone"/>
      <w:r>
        <w:rPr>
          <w:rFonts w:cs="Arial"/>
        </w:rPr>
        <w:t xml:space="preserve">We believe that the inclusion of past performance would be a positive change for </w:t>
      </w:r>
      <w:r w:rsidR="00920ECF">
        <w:rPr>
          <w:rFonts w:cs="Arial"/>
        </w:rPr>
        <w:t>several</w:t>
      </w:r>
      <w:r>
        <w:rPr>
          <w:rFonts w:cs="Arial"/>
        </w:rPr>
        <w:t xml:space="preserve"> reasons</w:t>
      </w:r>
      <w:r w:rsidR="00055BEF">
        <w:rPr>
          <w:rFonts w:cs="Arial"/>
        </w:rPr>
        <w:t>:</w:t>
      </w:r>
      <w:r>
        <w:rPr>
          <w:rFonts w:cs="Arial"/>
        </w:rPr>
        <w:t xml:space="preserve">  </w:t>
      </w:r>
    </w:p>
    <w:p w14:paraId="4E943BF4" w14:textId="77777777" w:rsidR="00920ECF" w:rsidRDefault="00920ECF" w:rsidP="003E573C">
      <w:pPr>
        <w:rPr>
          <w:rFonts w:cs="Arial"/>
        </w:rPr>
      </w:pPr>
    </w:p>
    <w:p w14:paraId="0817D319" w14:textId="77777777" w:rsidR="00920ECF" w:rsidRDefault="00EE45AE" w:rsidP="00920ECF">
      <w:pPr>
        <w:pStyle w:val="ListParagraph"/>
        <w:numPr>
          <w:ilvl w:val="0"/>
          <w:numId w:val="48"/>
        </w:numPr>
        <w:rPr>
          <w:rFonts w:cs="Arial"/>
        </w:rPr>
      </w:pPr>
      <w:r w:rsidRPr="00920ECF">
        <w:rPr>
          <w:rFonts w:cs="Arial"/>
        </w:rPr>
        <w:t>it is a</w:t>
      </w:r>
      <w:r w:rsidR="0047745D" w:rsidRPr="00920ECF">
        <w:rPr>
          <w:rFonts w:cs="Arial"/>
        </w:rPr>
        <w:t xml:space="preserve"> widely-</w:t>
      </w:r>
      <w:r w:rsidRPr="00920ECF">
        <w:rPr>
          <w:rFonts w:cs="Arial"/>
        </w:rPr>
        <w:t xml:space="preserve">accepted and easily-understood </w:t>
      </w:r>
      <w:r w:rsidR="001A6EE5" w:rsidRPr="00920ECF">
        <w:rPr>
          <w:rFonts w:cs="Arial"/>
        </w:rPr>
        <w:t xml:space="preserve">way </w:t>
      </w:r>
      <w:r w:rsidRPr="00920ECF">
        <w:rPr>
          <w:rFonts w:cs="Arial"/>
        </w:rPr>
        <w:t>of presenting a fund</w:t>
      </w:r>
      <w:r w:rsidR="001A6EE5" w:rsidRPr="00920ECF">
        <w:rPr>
          <w:rFonts w:cs="Arial"/>
        </w:rPr>
        <w:t>’s features</w:t>
      </w:r>
      <w:r w:rsidR="003C2A27" w:rsidRPr="00920ECF">
        <w:rPr>
          <w:rFonts w:cs="Arial"/>
        </w:rPr>
        <w:t xml:space="preserve">; </w:t>
      </w:r>
    </w:p>
    <w:p w14:paraId="017E24E2" w14:textId="77777777" w:rsidR="00920ECF" w:rsidRDefault="00EE45AE" w:rsidP="00920ECF">
      <w:pPr>
        <w:pStyle w:val="ListParagraph"/>
        <w:numPr>
          <w:ilvl w:val="0"/>
          <w:numId w:val="48"/>
        </w:numPr>
        <w:rPr>
          <w:rFonts w:cs="Arial"/>
        </w:rPr>
      </w:pPr>
      <w:r w:rsidRPr="00920ECF">
        <w:rPr>
          <w:rFonts w:cs="Arial"/>
        </w:rPr>
        <w:t>it would facilitate the inclusion of UCITS at the end of 2021, as KIIDs currently display only past performance</w:t>
      </w:r>
      <w:r w:rsidR="003C2A27" w:rsidRPr="00920ECF">
        <w:rPr>
          <w:rFonts w:cs="Arial"/>
        </w:rPr>
        <w:t xml:space="preserve">; and </w:t>
      </w:r>
    </w:p>
    <w:p w14:paraId="78E3F4EF" w14:textId="77777777" w:rsidR="00920ECF" w:rsidRDefault="003C2A27" w:rsidP="00920ECF">
      <w:pPr>
        <w:pStyle w:val="ListParagraph"/>
        <w:numPr>
          <w:ilvl w:val="0"/>
          <w:numId w:val="48"/>
        </w:numPr>
        <w:rPr>
          <w:rFonts w:cs="Arial"/>
        </w:rPr>
      </w:pPr>
      <w:r w:rsidRPr="00920ECF">
        <w:rPr>
          <w:rFonts w:cs="Arial"/>
        </w:rPr>
        <w:t>it would provide empirical evidence of a fund’s performance if future performance is to be based on probabilistic scenarios</w:t>
      </w:r>
      <w:r w:rsidR="00EE45AE" w:rsidRPr="00920ECF">
        <w:rPr>
          <w:rFonts w:cs="Arial"/>
        </w:rPr>
        <w:t>.</w:t>
      </w:r>
      <w:r w:rsidR="0047745D" w:rsidRPr="00920ECF">
        <w:rPr>
          <w:rFonts w:cs="Arial"/>
        </w:rPr>
        <w:t xml:space="preserve">  </w:t>
      </w:r>
    </w:p>
    <w:p w14:paraId="0192ECF3" w14:textId="77777777" w:rsidR="00920ECF" w:rsidRDefault="00920ECF" w:rsidP="00920ECF">
      <w:pPr>
        <w:rPr>
          <w:rFonts w:cs="Arial"/>
        </w:rPr>
      </w:pPr>
    </w:p>
    <w:p w14:paraId="2BFE012E" w14:textId="2D29CBE5" w:rsidR="003E573C" w:rsidRPr="00920ECF" w:rsidRDefault="003C2A27" w:rsidP="00920ECF">
      <w:pPr>
        <w:rPr>
          <w:rFonts w:cs="Arial"/>
        </w:rPr>
      </w:pPr>
      <w:r w:rsidRPr="00920ECF">
        <w:rPr>
          <w:rFonts w:cs="Arial"/>
        </w:rPr>
        <w:t xml:space="preserve">We strongly recommend that </w:t>
      </w:r>
      <w:r w:rsidR="00700861" w:rsidRPr="00920ECF">
        <w:rPr>
          <w:rFonts w:cs="Arial"/>
        </w:rPr>
        <w:t xml:space="preserve">Art 6(4) of the </w:t>
      </w:r>
      <w:r w:rsidRPr="00920ECF">
        <w:rPr>
          <w:rFonts w:cs="Arial"/>
        </w:rPr>
        <w:t xml:space="preserve">PRIIPs </w:t>
      </w:r>
      <w:r w:rsidR="00700861" w:rsidRPr="00920ECF">
        <w:rPr>
          <w:rFonts w:cs="Arial"/>
        </w:rPr>
        <w:t>Regulation</w:t>
      </w:r>
      <w:r w:rsidRPr="00920ECF">
        <w:rPr>
          <w:rFonts w:cs="Arial"/>
        </w:rPr>
        <w:t xml:space="preserve"> is amended to permit </w:t>
      </w:r>
      <w:r w:rsidR="00E45F66" w:rsidRPr="00920ECF">
        <w:rPr>
          <w:rFonts w:cs="Arial"/>
        </w:rPr>
        <w:t>KIDs to run to four pages,</w:t>
      </w:r>
      <w:r w:rsidRPr="00920ECF">
        <w:rPr>
          <w:rFonts w:cs="Arial"/>
        </w:rPr>
        <w:t xml:space="preserve"> to avoid any danger of overcrowding of data, which would </w:t>
      </w:r>
      <w:r w:rsidR="00055BEF">
        <w:rPr>
          <w:rFonts w:cs="Arial"/>
        </w:rPr>
        <w:t xml:space="preserve">add to the confusion of </w:t>
      </w:r>
      <w:r w:rsidR="00E45F66" w:rsidRPr="00920ECF">
        <w:rPr>
          <w:rFonts w:cs="Arial"/>
        </w:rPr>
        <w:t>retail customers</w:t>
      </w:r>
      <w:r w:rsidR="0047745D" w:rsidRPr="00920ECF">
        <w:rPr>
          <w:rFonts w:cs="Arial"/>
        </w:rPr>
        <w:t>.</w:t>
      </w:r>
      <w:r w:rsidR="00055BEF">
        <w:rPr>
          <w:rFonts w:cs="Arial"/>
        </w:rPr>
        <w:t xml:space="preserve">  However, we do not see the three-page limit as a reason not to include past performance</w:t>
      </w:r>
      <w:r w:rsidR="006B3970">
        <w:rPr>
          <w:rFonts w:cs="Arial"/>
        </w:rPr>
        <w:t xml:space="preserve"> if space is made available by reducing the number of future scenarios</w:t>
      </w:r>
      <w:r w:rsidR="00055BEF">
        <w:rPr>
          <w:rFonts w:cs="Arial"/>
        </w:rPr>
        <w:t>.</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lastRenderedPageBreak/>
        <w:t>&lt;ESA_QUESTION_PKID_27&gt;</w:t>
      </w:r>
    </w:p>
    <w:p w14:paraId="50AB8F8B" w14:textId="6D1A047D" w:rsidR="003E573C" w:rsidRDefault="00EE45AE" w:rsidP="003E573C">
      <w:pPr>
        <w:rPr>
          <w:rFonts w:cs="Arial"/>
        </w:rPr>
      </w:pPr>
      <w:permStart w:id="1007688109" w:edGrp="everyone"/>
      <w:r>
        <w:rPr>
          <w:rFonts w:cs="Arial"/>
        </w:rPr>
        <w:t xml:space="preserve">We believe that permitting KIDs to extend to a fourth page would allow those that currently struggle to fit onto three pages to add some helpful space, making them </w:t>
      </w:r>
      <w:r w:rsidR="005B7FE0">
        <w:rPr>
          <w:rFonts w:cs="Arial"/>
        </w:rPr>
        <w:t xml:space="preserve">clearer and </w:t>
      </w:r>
      <w:r>
        <w:rPr>
          <w:rFonts w:cs="Arial"/>
        </w:rPr>
        <w:t xml:space="preserve">easier for retail consumers to read.  </w:t>
      </w:r>
      <w:r w:rsidR="00055BEF">
        <w:rPr>
          <w:rFonts w:cs="Arial"/>
        </w:rPr>
        <w:t>However, as we say in Q27, we do not believe that the inclusion of past performance should depend on going to four pages.</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AA32BCE" w:rsidR="003E573C" w:rsidRDefault="000B77BD" w:rsidP="003E573C">
      <w:pPr>
        <w:rPr>
          <w:rFonts w:cs="Arial"/>
        </w:rPr>
      </w:pPr>
      <w:permStart w:id="1152679739" w:edGrp="everyone"/>
      <w:r>
        <w:rPr>
          <w:rFonts w:cs="Arial"/>
        </w:rPr>
        <w:t>We believe that it is important to show discrete performance, as this illustrates the volatility of returns and how the product has performed in different market conditions, neither of which would be included if only an average were shown.  However, it may be appropriate to show the average performance over the RHP, in addition to showing discrete annual performance, for products with an RHP of greater than 10 years</w:t>
      </w:r>
      <w:r w:rsidR="00322CD5">
        <w:rPr>
          <w:rFonts w:cs="Arial"/>
        </w:rPr>
        <w:t>, to illustrate the long-term returns</w:t>
      </w:r>
      <w:r>
        <w:rPr>
          <w:rFonts w:cs="Arial"/>
        </w:rPr>
        <w:t>.</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284A4D83" w:rsidR="003E573C" w:rsidRDefault="009D5E6A" w:rsidP="003E573C">
      <w:pPr>
        <w:rPr>
          <w:rFonts w:cs="Arial"/>
        </w:rPr>
      </w:pPr>
      <w:permStart w:id="503522783" w:edGrp="everyone"/>
      <w:r>
        <w:rPr>
          <w:rFonts w:cs="Arial"/>
        </w:rPr>
        <w:t xml:space="preserve">We believe it is important to </w:t>
      </w:r>
      <w:r w:rsidR="00322CD5">
        <w:rPr>
          <w:rFonts w:cs="Arial"/>
        </w:rPr>
        <w:t>confirm</w:t>
      </w:r>
      <w:r>
        <w:rPr>
          <w:rFonts w:cs="Arial"/>
        </w:rPr>
        <w:t xml:space="preserve"> that past performance is not an indicator of future performance</w:t>
      </w:r>
      <w:r w:rsidR="008F40E8">
        <w:rPr>
          <w:rFonts w:cs="Arial"/>
        </w:rPr>
        <w:t xml:space="preserve"> and </w:t>
      </w:r>
      <w:r>
        <w:rPr>
          <w:rFonts w:cs="Arial"/>
        </w:rPr>
        <w:t xml:space="preserve">confirm that the future performance scenarios are not predictions of </w:t>
      </w:r>
      <w:r w:rsidR="00322CD5">
        <w:rPr>
          <w:rFonts w:cs="Arial"/>
        </w:rPr>
        <w:t xml:space="preserve">the </w:t>
      </w:r>
      <w:r>
        <w:rPr>
          <w:rFonts w:cs="Arial"/>
        </w:rPr>
        <w:t xml:space="preserve">returns </w:t>
      </w:r>
      <w:r w:rsidR="00322CD5">
        <w:rPr>
          <w:rFonts w:cs="Arial"/>
        </w:rPr>
        <w:t xml:space="preserve">that </w:t>
      </w:r>
      <w:r>
        <w:rPr>
          <w:rFonts w:cs="Arial"/>
        </w:rPr>
        <w:t xml:space="preserve">will be achieved, but are </w:t>
      </w:r>
      <w:r w:rsidR="008F40E8">
        <w:rPr>
          <w:rFonts w:cs="Arial"/>
        </w:rPr>
        <w:t xml:space="preserve">only </w:t>
      </w:r>
      <w:r>
        <w:rPr>
          <w:rFonts w:cs="Arial"/>
        </w:rPr>
        <w:t xml:space="preserve">indications of what </w:t>
      </w:r>
      <w:r w:rsidR="005C482A">
        <w:rPr>
          <w:rFonts w:cs="Arial"/>
          <w:i/>
        </w:rPr>
        <w:t>m</w:t>
      </w:r>
      <w:r w:rsidR="008F40E8">
        <w:rPr>
          <w:rFonts w:cs="Arial"/>
          <w:i/>
        </w:rPr>
        <w:t>ight</w:t>
      </w:r>
      <w:r>
        <w:rPr>
          <w:rFonts w:cs="Arial"/>
        </w:rPr>
        <w:t xml:space="preserve"> be achieved.</w:t>
      </w:r>
      <w:r w:rsidR="009869D8">
        <w:rPr>
          <w:rFonts w:cs="Arial"/>
        </w:rPr>
        <w:t xml:space="preserve">  Both of these statements already exist in fund promotion regulations, so we believe that what </w:t>
      </w:r>
      <w:r w:rsidR="005C482A">
        <w:rPr>
          <w:rFonts w:cs="Arial"/>
        </w:rPr>
        <w:t>is</w:t>
      </w:r>
      <w:r w:rsidR="009869D8">
        <w:rPr>
          <w:rFonts w:cs="Arial"/>
        </w:rPr>
        <w:t xml:space="preserve"> required is a </w:t>
      </w:r>
      <w:r w:rsidR="005C482A">
        <w:rPr>
          <w:rFonts w:cs="Arial"/>
        </w:rPr>
        <w:t xml:space="preserve">clear </w:t>
      </w:r>
      <w:r w:rsidR="009869D8">
        <w:rPr>
          <w:rFonts w:cs="Arial"/>
        </w:rPr>
        <w:t>way to combine these without losing either message.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60D0E141" w:rsidR="003E573C" w:rsidRDefault="00C67B22" w:rsidP="003E573C">
      <w:pPr>
        <w:rPr>
          <w:rFonts w:cs="Arial"/>
        </w:rPr>
      </w:pPr>
      <w:permStart w:id="1708064826" w:edGrp="everyone"/>
      <w:r>
        <w:rPr>
          <w:rFonts w:cs="Arial"/>
        </w:rPr>
        <w:t xml:space="preserve">No.  </w:t>
      </w:r>
      <w:r w:rsidR="00D2446E">
        <w:rPr>
          <w:rFonts w:cs="Arial"/>
        </w:rPr>
        <w:t xml:space="preserve">We believe that the </w:t>
      </w:r>
      <w:r w:rsidR="00BB641E">
        <w:rPr>
          <w:rFonts w:cs="Arial"/>
        </w:rPr>
        <w:t xml:space="preserve">ESMA Q&amp;As are clear about </w:t>
      </w:r>
      <w:r w:rsidR="003472D3">
        <w:rPr>
          <w:rFonts w:cs="Arial"/>
        </w:rPr>
        <w:t xml:space="preserve">disclosure requirements </w:t>
      </w:r>
      <w:r w:rsidR="005C482A">
        <w:rPr>
          <w:rFonts w:cs="Arial"/>
        </w:rPr>
        <w:t xml:space="preserve">in respect of being </w:t>
      </w:r>
      <w:r w:rsidR="00BB641E">
        <w:rPr>
          <w:rFonts w:cs="Arial"/>
        </w:rPr>
        <w:t>managed in reference to a benchmark</w:t>
      </w:r>
      <w:r w:rsidR="003472D3">
        <w:rPr>
          <w:rFonts w:cs="Arial"/>
        </w:rPr>
        <w:t xml:space="preserve"> or not</w:t>
      </w:r>
      <w:r w:rsidR="00BB641E">
        <w:rPr>
          <w:rFonts w:cs="Arial"/>
        </w:rPr>
        <w:t>.</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lastRenderedPageBreak/>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218D9E29" w:rsidR="003E573C" w:rsidRDefault="005563E9" w:rsidP="003E573C">
      <w:pPr>
        <w:rPr>
          <w:rFonts w:cs="Arial"/>
        </w:rPr>
      </w:pPr>
      <w:permStart w:id="1802452064" w:edGrp="everyone"/>
      <w:r>
        <w:rPr>
          <w:rFonts w:cs="Arial"/>
        </w:rPr>
        <w:t xml:space="preserve">We believe that, while comparability between PRIIPs is important, it </w:t>
      </w:r>
      <w:r w:rsidR="008F40E8">
        <w:rPr>
          <w:rFonts w:cs="Arial"/>
        </w:rPr>
        <w:t>w</w:t>
      </w:r>
      <w:r>
        <w:rPr>
          <w:rFonts w:cs="Arial"/>
        </w:rPr>
        <w:t xml:space="preserve">ould be clear to a potential investor that products with significantly different RHPs </w:t>
      </w:r>
      <w:r w:rsidR="00A370AD">
        <w:rPr>
          <w:rFonts w:cs="Arial"/>
        </w:rPr>
        <w:t>can</w:t>
      </w:r>
      <w:r>
        <w:rPr>
          <w:rFonts w:cs="Arial"/>
        </w:rPr>
        <w:t xml:space="preserve">not be directly compared </w:t>
      </w:r>
      <w:r w:rsidR="00A370AD">
        <w:rPr>
          <w:rFonts w:cs="Arial"/>
        </w:rPr>
        <w:t>on the basis of a KID</w:t>
      </w:r>
      <w:r w:rsidR="00D30FFB">
        <w:rPr>
          <w:rFonts w:cs="Arial"/>
        </w:rPr>
        <w:t xml:space="preserve"> alone</w:t>
      </w:r>
      <w:r w:rsidR="00A370AD">
        <w:rPr>
          <w:rFonts w:cs="Arial"/>
        </w:rPr>
        <w:t xml:space="preserve">.  </w:t>
      </w:r>
      <w:r w:rsidR="007A0091">
        <w:rPr>
          <w:rFonts w:cs="Arial"/>
        </w:rPr>
        <w:t xml:space="preserve">Given the wide range of RHPs, we cannot </w:t>
      </w:r>
      <w:r w:rsidR="00D30FFB">
        <w:rPr>
          <w:rFonts w:cs="Arial"/>
        </w:rPr>
        <w:t xml:space="preserve">understand </w:t>
      </w:r>
      <w:r w:rsidR="007A0091">
        <w:rPr>
          <w:rFonts w:cs="Arial"/>
        </w:rPr>
        <w:t xml:space="preserve">what </w:t>
      </w:r>
      <w:proofErr w:type="gramStart"/>
      <w:r w:rsidR="007A0091">
        <w:rPr>
          <w:rFonts w:cs="Arial"/>
        </w:rPr>
        <w:t>could be a suitable fixed intermediate period</w:t>
      </w:r>
      <w:proofErr w:type="gramEnd"/>
      <w:r w:rsidR="00C67B22">
        <w:rPr>
          <w:rFonts w:cs="Arial"/>
        </w:rPr>
        <w:t>.  A</w:t>
      </w:r>
      <w:r w:rsidR="007A0091">
        <w:rPr>
          <w:rFonts w:cs="Arial"/>
        </w:rPr>
        <w:t xml:space="preserve">s </w:t>
      </w:r>
      <w:r w:rsidR="00C67B22">
        <w:rPr>
          <w:rFonts w:cs="Arial"/>
        </w:rPr>
        <w:t xml:space="preserve">things </w:t>
      </w:r>
      <w:r w:rsidR="007A0091">
        <w:rPr>
          <w:rFonts w:cs="Arial"/>
        </w:rPr>
        <w:t xml:space="preserve">stand, </w:t>
      </w:r>
      <w:r w:rsidR="00D30FFB">
        <w:rPr>
          <w:rFonts w:cs="Arial"/>
        </w:rPr>
        <w:t>an</w:t>
      </w:r>
      <w:r w:rsidR="007A0091">
        <w:rPr>
          <w:rFonts w:cs="Arial"/>
        </w:rPr>
        <w:t xml:space="preserve"> RHP of 5 years is also the intermediate period for a product with an RHP of 10 years.  </w:t>
      </w:r>
      <w:r w:rsidR="00A370AD">
        <w:rPr>
          <w:rFonts w:cs="Arial"/>
        </w:rPr>
        <w:t xml:space="preserve">We do not, therefore, believe that it is necessary </w:t>
      </w:r>
      <w:r w:rsidR="007A0091">
        <w:rPr>
          <w:rFonts w:cs="Arial"/>
        </w:rPr>
        <w:t xml:space="preserve">or workable </w:t>
      </w:r>
      <w:r w:rsidR="00A370AD">
        <w:rPr>
          <w:rFonts w:cs="Arial"/>
        </w:rPr>
        <w:t>to impose a fixed intermediate time period.</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45888AEE" w:rsidR="003E573C" w:rsidRDefault="00A370AD" w:rsidP="003E573C">
      <w:pPr>
        <w:rPr>
          <w:rFonts w:cs="Arial"/>
        </w:rPr>
      </w:pPr>
      <w:permStart w:id="1498437863" w:edGrp="everyone"/>
      <w:r>
        <w:rPr>
          <w:rFonts w:cs="Arial"/>
        </w:rPr>
        <w:t xml:space="preserve">We do not believe that 5 years is any more relevant as an intermediate time period for a product with a longer RHP than half </w:t>
      </w:r>
      <w:r w:rsidR="00B500A7">
        <w:rPr>
          <w:rFonts w:cs="Arial"/>
        </w:rPr>
        <w:t>the</w:t>
      </w:r>
      <w:r>
        <w:rPr>
          <w:rFonts w:cs="Arial"/>
        </w:rPr>
        <w:t xml:space="preserve"> RHP.</w:t>
      </w:r>
      <w:r w:rsidR="00ED0BB4">
        <w:rPr>
          <w:rFonts w:cs="Arial"/>
        </w:rPr>
        <w:t xml:space="preserve">  </w:t>
      </w:r>
      <w:r w:rsidR="00B500A7">
        <w:rPr>
          <w:rFonts w:cs="Arial"/>
        </w:rPr>
        <w:t>The two bullet points in this question also suggest having different “fixed” intermediate points, depending on whether the RHP is over 8/10 years or over 15 years, which we believe demonstrates that this plan is unworkable.</w:t>
      </w:r>
    </w:p>
    <w:p w14:paraId="2246973E" w14:textId="7CC1F564" w:rsidR="00B500A7" w:rsidRDefault="00B500A7" w:rsidP="003E573C">
      <w:pPr>
        <w:rPr>
          <w:rFonts w:cs="Arial"/>
        </w:rPr>
      </w:pPr>
    </w:p>
    <w:p w14:paraId="37EFEE19" w14:textId="62ED3343" w:rsidR="00B500A7" w:rsidRDefault="00B500A7" w:rsidP="003E573C">
      <w:pPr>
        <w:rPr>
          <w:rFonts w:cs="Arial"/>
        </w:rPr>
      </w:pPr>
      <w:r>
        <w:rPr>
          <w:rFonts w:cs="Arial"/>
        </w:rPr>
        <w:t>Using the core proposal (a fixed intermediate period of 5 years for all PRIIPs with an RHP over 8 years), it could appear to suggest that 5 years is a suitable time to consider early encashment</w:t>
      </w:r>
      <w:r w:rsidR="00EA579D">
        <w:rPr>
          <w:rFonts w:cs="Arial"/>
        </w:rPr>
        <w:t xml:space="preserve">, even for a PRIIP with an RHP of </w:t>
      </w:r>
      <w:r w:rsidR="00C67B22">
        <w:rPr>
          <w:rFonts w:cs="Arial"/>
        </w:rPr>
        <w:t>15</w:t>
      </w:r>
      <w:r w:rsidR="00EA579D">
        <w:rPr>
          <w:rFonts w:cs="Arial"/>
        </w:rPr>
        <w:t xml:space="preserve"> years or longer.</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08BFDBE4" w:rsidR="003E573C" w:rsidRDefault="00487245" w:rsidP="003E573C">
      <w:pPr>
        <w:rPr>
          <w:rFonts w:cs="Arial"/>
        </w:rPr>
      </w:pPr>
      <w:permStart w:id="621350576" w:edGrp="everyone"/>
      <w:r>
        <w:rPr>
          <w:rFonts w:cs="Arial"/>
        </w:rPr>
        <w:t xml:space="preserve">As costs </w:t>
      </w:r>
      <w:r w:rsidR="00990FB3">
        <w:rPr>
          <w:rFonts w:cs="Arial"/>
        </w:rPr>
        <w:t xml:space="preserve">generally do not </w:t>
      </w:r>
      <w:r>
        <w:rPr>
          <w:rFonts w:cs="Arial"/>
        </w:rPr>
        <w:t xml:space="preserve">vary significantly from year to </w:t>
      </w:r>
      <w:r w:rsidR="00963D6F">
        <w:rPr>
          <w:rFonts w:cs="Arial"/>
        </w:rPr>
        <w:t>year</w:t>
      </w:r>
      <w:r w:rsidR="00C27824">
        <w:rPr>
          <w:rFonts w:cs="Arial"/>
        </w:rPr>
        <w:t>,</w:t>
      </w:r>
      <w:r w:rsidR="00963D6F">
        <w:rPr>
          <w:rFonts w:cs="Arial"/>
        </w:rPr>
        <w:t xml:space="preserve"> </w:t>
      </w:r>
      <w:r>
        <w:rPr>
          <w:rFonts w:cs="Arial"/>
        </w:rPr>
        <w:t>unlike performance – see our response to Q28</w:t>
      </w:r>
      <w:r w:rsidR="00C27824">
        <w:rPr>
          <w:rFonts w:cs="Arial"/>
        </w:rPr>
        <w:t xml:space="preserve"> –</w:t>
      </w:r>
      <w:r>
        <w:rPr>
          <w:rFonts w:cs="Arial"/>
        </w:rPr>
        <w:t xml:space="preserve"> we believe that an annual average cost figure would be appropriate.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lastRenderedPageBreak/>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5EC8B80" w:rsidR="003E573C" w:rsidRDefault="00746DA2" w:rsidP="003E573C">
      <w:pPr>
        <w:rPr>
          <w:rFonts w:cs="Arial"/>
        </w:rPr>
      </w:pPr>
      <w:permStart w:id="2047886229" w:edGrp="everyone"/>
      <w:r>
        <w:rPr>
          <w:rFonts w:cs="Arial"/>
        </w:rPr>
        <w:t xml:space="preserve">We agree with this analysis.  Any costs incurred in managing real estate assets that have an impact on the net returns to investors </w:t>
      </w:r>
      <w:r w:rsidR="00C67B22">
        <w:rPr>
          <w:rFonts w:cs="Arial"/>
        </w:rPr>
        <w:t xml:space="preserve">are factored into the returns and </w:t>
      </w:r>
      <w:r>
        <w:rPr>
          <w:rFonts w:cs="Arial"/>
        </w:rPr>
        <w:t>should be included in the cost disclosures on a KID.</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01CBD0BD" w:rsidR="003E573C" w:rsidRDefault="008F40E8" w:rsidP="003E573C">
      <w:pPr>
        <w:rPr>
          <w:rFonts w:cs="Arial"/>
        </w:rPr>
      </w:pPr>
      <w:permStart w:id="777852593" w:edGrp="everyone"/>
      <w:r>
        <w:rPr>
          <w:rFonts w:cs="Arial"/>
        </w:rPr>
        <w:t>T</w:t>
      </w:r>
      <w:r w:rsidR="00CA4BFA">
        <w:rPr>
          <w:rFonts w:cs="Arial"/>
        </w:rPr>
        <w:t xml:space="preserve">he objective of a KID should be to provide the key information on a product and to </w:t>
      </w:r>
      <w:r w:rsidR="00B74E54">
        <w:rPr>
          <w:rFonts w:cs="Arial"/>
        </w:rPr>
        <w:t xml:space="preserve">enable </w:t>
      </w:r>
      <w:r w:rsidR="00CA4BFA">
        <w:rPr>
          <w:rFonts w:cs="Arial"/>
        </w:rPr>
        <w:t>comparison between products, without overloading retail customers with so many numbers that it detracts from their comprehension.</w:t>
      </w:r>
    </w:p>
    <w:p w14:paraId="4265F2B1" w14:textId="699F947C" w:rsidR="00710679" w:rsidRDefault="00710679" w:rsidP="003E573C">
      <w:pPr>
        <w:rPr>
          <w:rFonts w:cs="Arial"/>
        </w:rPr>
      </w:pPr>
    </w:p>
    <w:p w14:paraId="2A105834" w14:textId="3CCC5189" w:rsidR="00710679" w:rsidRDefault="00710679" w:rsidP="003E573C">
      <w:pPr>
        <w:rPr>
          <w:rFonts w:cs="Arial"/>
        </w:rPr>
      </w:pPr>
      <w:r>
        <w:rPr>
          <w:rFonts w:cs="Arial"/>
        </w:rPr>
        <w:t xml:space="preserve">Option 4 would therefore be our preferred option, except that the costs over time are not defined.  </w:t>
      </w:r>
      <w:r w:rsidR="005E58F8">
        <w:rPr>
          <w:rFonts w:cs="Arial"/>
        </w:rPr>
        <w:t>Of the options where the costs are defined</w:t>
      </w:r>
      <w:r w:rsidR="00FD7169">
        <w:rPr>
          <w:rFonts w:cs="Arial"/>
        </w:rPr>
        <w:t xml:space="preserve">, we agree that Option 3 is our preferred presentation, </w:t>
      </w:r>
      <w:r w:rsidR="00C67B22">
        <w:rPr>
          <w:rFonts w:cs="Arial"/>
        </w:rPr>
        <w:t xml:space="preserve">but see also </w:t>
      </w:r>
      <w:r w:rsidR="00FD7169">
        <w:rPr>
          <w:rFonts w:cs="Arial"/>
        </w:rPr>
        <w:t>our response</w:t>
      </w:r>
      <w:r w:rsidR="00C67B22">
        <w:rPr>
          <w:rFonts w:cs="Arial"/>
        </w:rPr>
        <w:t>s</w:t>
      </w:r>
      <w:r w:rsidR="00FD7169">
        <w:rPr>
          <w:rFonts w:cs="Arial"/>
        </w:rPr>
        <w:t xml:space="preserve"> to Q.33 and Q.34</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43237866" w:rsidR="003E573C" w:rsidRDefault="00A772D7" w:rsidP="003E573C">
      <w:pPr>
        <w:rPr>
          <w:rFonts w:cs="Arial"/>
        </w:rPr>
      </w:pPr>
      <w:permStart w:id="855140723" w:edGrp="everyone"/>
      <w:r>
        <w:rPr>
          <w:rFonts w:cs="Arial"/>
        </w:rPr>
        <w:t xml:space="preserve">We believe that </w:t>
      </w:r>
      <w:r w:rsidR="00FD7169">
        <w:rPr>
          <w:rFonts w:cs="Arial"/>
        </w:rPr>
        <w:t xml:space="preserve">adding transaction costs under the arrival price methodology could </w:t>
      </w:r>
      <w:r>
        <w:rPr>
          <w:rFonts w:cs="Arial"/>
        </w:rPr>
        <w:t>inflate the gross return</w:t>
      </w:r>
      <w:r w:rsidR="001222B8">
        <w:rPr>
          <w:rFonts w:cs="Arial"/>
        </w:rPr>
        <w:t xml:space="preserve"> figure</w:t>
      </w:r>
      <w:r w:rsidR="00FD7169">
        <w:rPr>
          <w:rFonts w:cs="Arial"/>
        </w:rPr>
        <w:t xml:space="preserve">, as </w:t>
      </w:r>
      <w:r>
        <w:rPr>
          <w:rFonts w:cs="Arial"/>
        </w:rPr>
        <w:t xml:space="preserve">they have not </w:t>
      </w:r>
      <w:r w:rsidR="00FD7169">
        <w:rPr>
          <w:rFonts w:cs="Arial"/>
        </w:rPr>
        <w:t xml:space="preserve">actually </w:t>
      </w:r>
      <w:r>
        <w:rPr>
          <w:rFonts w:cs="Arial"/>
        </w:rPr>
        <w:t xml:space="preserve">been deducted to arrive at the single price (or bid price for dual-priced funds) at which an investor </w:t>
      </w:r>
      <w:r w:rsidR="001222B8">
        <w:rPr>
          <w:rFonts w:cs="Arial"/>
        </w:rPr>
        <w:t>may</w:t>
      </w:r>
      <w:r>
        <w:rPr>
          <w:rFonts w:cs="Arial"/>
        </w:rPr>
        <w:t xml:space="preserve"> redeem units.  The </w:t>
      </w:r>
      <w:r w:rsidR="00FD7169">
        <w:rPr>
          <w:rFonts w:cs="Arial"/>
        </w:rPr>
        <w:t xml:space="preserve">implicit </w:t>
      </w:r>
      <w:r w:rsidR="006B2450">
        <w:rPr>
          <w:rFonts w:cs="Arial"/>
        </w:rPr>
        <w:t>cost</w:t>
      </w:r>
      <w:r w:rsidR="00FD7169">
        <w:rPr>
          <w:rFonts w:cs="Arial"/>
        </w:rPr>
        <w:t xml:space="preserve">s include </w:t>
      </w:r>
      <w:r w:rsidR="001222B8">
        <w:rPr>
          <w:rFonts w:cs="Arial"/>
        </w:rPr>
        <w:t>an</w:t>
      </w:r>
      <w:r>
        <w:rPr>
          <w:rFonts w:cs="Arial"/>
        </w:rPr>
        <w:t xml:space="preserve"> opportunity cost that neither the manufacturer nor its market counterparties deduct from the </w:t>
      </w:r>
      <w:r w:rsidR="00CA4BFA">
        <w:rPr>
          <w:rFonts w:cs="Arial"/>
        </w:rPr>
        <w:t>gross</w:t>
      </w:r>
      <w:r w:rsidR="006B2450">
        <w:rPr>
          <w:rFonts w:cs="Arial"/>
        </w:rPr>
        <w:t xml:space="preserve"> amount</w:t>
      </w:r>
      <w:r w:rsidR="00CA4BFA">
        <w:rPr>
          <w:rFonts w:cs="Arial"/>
        </w:rPr>
        <w:t>.</w:t>
      </w:r>
      <w:r w:rsidR="00FD7169">
        <w:rPr>
          <w:rFonts w:cs="Arial"/>
        </w:rPr>
        <w:t xml:space="preserve">  This is particularly relevant if the proposal to ban negative implicit costs </w:t>
      </w:r>
      <w:r w:rsidR="001222B8">
        <w:rPr>
          <w:rFonts w:cs="Arial"/>
        </w:rPr>
        <w:t xml:space="preserve">– including for dilution adjustments – </w:t>
      </w:r>
      <w:r w:rsidR="00FD7169">
        <w:rPr>
          <w:rFonts w:cs="Arial"/>
        </w:rPr>
        <w:t>goes ahead</w:t>
      </w:r>
      <w:r w:rsidR="001222B8">
        <w:rPr>
          <w:rFonts w:cs="Arial"/>
        </w:rPr>
        <w:t xml:space="preserve"> (see Section 8.3 of th</w:t>
      </w:r>
      <w:r w:rsidR="000556EF">
        <w:rPr>
          <w:rFonts w:cs="Arial"/>
        </w:rPr>
        <w:t>is</w:t>
      </w:r>
      <w:r w:rsidR="001222B8">
        <w:rPr>
          <w:rFonts w:cs="Arial"/>
        </w:rPr>
        <w:t xml:space="preserve"> CP).</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3879C785" w:rsidR="003E573C" w:rsidRDefault="001222B8" w:rsidP="003E573C">
      <w:pPr>
        <w:rPr>
          <w:rFonts w:cs="Arial"/>
        </w:rPr>
      </w:pPr>
      <w:permStart w:id="1223957116" w:edGrp="everyone"/>
      <w:r>
        <w:rPr>
          <w:rFonts w:cs="Arial"/>
        </w:rPr>
        <w:t>We believe it is important to see what impact the new presentation may have on the three-page limit for KIDs, subject to a possible change to the Level 1 Regulation.</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lastRenderedPageBreak/>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5ED65BA" w14:textId="20995787" w:rsidR="008777F8" w:rsidRDefault="001222B8" w:rsidP="003E573C">
      <w:pPr>
        <w:rPr>
          <w:rFonts w:cs="Arial"/>
        </w:rPr>
      </w:pPr>
      <w:permStart w:id="1305246923" w:edGrp="everyone"/>
      <w:r>
        <w:rPr>
          <w:rFonts w:cs="Arial"/>
        </w:rPr>
        <w:t>The first p</w:t>
      </w:r>
      <w:r w:rsidR="00C473EF">
        <w:rPr>
          <w:rFonts w:cs="Arial"/>
        </w:rPr>
        <w:t xml:space="preserve">aragraph </w:t>
      </w:r>
      <w:r>
        <w:rPr>
          <w:rFonts w:cs="Arial"/>
        </w:rPr>
        <w:t xml:space="preserve">of Section </w:t>
      </w:r>
      <w:r w:rsidR="00C473EF">
        <w:rPr>
          <w:rFonts w:cs="Arial"/>
        </w:rPr>
        <w:t>8.3.2 states that “</w:t>
      </w:r>
      <w:r w:rsidR="00C473EF" w:rsidRPr="00C473EF">
        <w:rPr>
          <w:rFonts w:cs="Arial"/>
        </w:rPr>
        <w:t>When slippage is calculated over many transactions, this random element should average out to approximately zero</w:t>
      </w:r>
      <w:r w:rsidR="00C473EF">
        <w:rPr>
          <w:rFonts w:cs="Arial"/>
        </w:rPr>
        <w:t>”; this infers that high turnover should lead to the implicit costs being close to half the bid-ask spread</w:t>
      </w:r>
      <w:r w:rsidR="00EE5CE7">
        <w:rPr>
          <w:rFonts w:cs="Arial"/>
        </w:rPr>
        <w:t xml:space="preserve">, but that it could </w:t>
      </w:r>
      <w:r w:rsidR="003D0E11">
        <w:rPr>
          <w:rFonts w:cs="Arial"/>
        </w:rPr>
        <w:t>be material over a smaller number of transactions</w:t>
      </w:r>
      <w:r w:rsidR="00C473EF">
        <w:rPr>
          <w:rFonts w:cs="Arial"/>
        </w:rPr>
        <w:t>.  We believe that it is counter-intuitive</w:t>
      </w:r>
      <w:r w:rsidR="00880EDF">
        <w:rPr>
          <w:rFonts w:cs="Arial"/>
        </w:rPr>
        <w:t>, therefore,</w:t>
      </w:r>
      <w:r w:rsidR="00C473EF">
        <w:rPr>
          <w:rFonts w:cs="Arial"/>
        </w:rPr>
        <w:t xml:space="preserve"> to apply a simplified approach </w:t>
      </w:r>
      <w:r>
        <w:rPr>
          <w:rFonts w:cs="Arial"/>
        </w:rPr>
        <w:t xml:space="preserve">only </w:t>
      </w:r>
      <w:r w:rsidR="00C473EF">
        <w:rPr>
          <w:rFonts w:cs="Arial"/>
        </w:rPr>
        <w:t>in the case of low portfolio turnover.</w:t>
      </w:r>
    </w:p>
    <w:p w14:paraId="44A77120" w14:textId="77777777" w:rsidR="008777F8" w:rsidRDefault="008777F8" w:rsidP="003E573C">
      <w:pPr>
        <w:rPr>
          <w:rFonts w:cs="Arial"/>
        </w:rPr>
      </w:pPr>
    </w:p>
    <w:p w14:paraId="6B651534" w14:textId="35BFAA1D" w:rsidR="00880EDF" w:rsidRDefault="00880EDF" w:rsidP="003E573C">
      <w:pPr>
        <w:rPr>
          <w:rFonts w:cs="Arial"/>
        </w:rPr>
      </w:pPr>
      <w:r>
        <w:rPr>
          <w:rFonts w:cs="Arial"/>
        </w:rPr>
        <w:t>Banning</w:t>
      </w:r>
      <w:r w:rsidR="00C473EF">
        <w:rPr>
          <w:rFonts w:cs="Arial"/>
        </w:rPr>
        <w:t xml:space="preserve"> </w:t>
      </w:r>
      <w:r w:rsidR="00A8263B">
        <w:rPr>
          <w:rFonts w:cs="Arial"/>
        </w:rPr>
        <w:t xml:space="preserve">negative </w:t>
      </w:r>
      <w:r w:rsidR="00FA4D05">
        <w:rPr>
          <w:rFonts w:cs="Arial"/>
        </w:rPr>
        <w:t xml:space="preserve">implicit </w:t>
      </w:r>
      <w:r w:rsidR="00A8263B">
        <w:rPr>
          <w:rFonts w:cs="Arial"/>
        </w:rPr>
        <w:t xml:space="preserve">costs </w:t>
      </w:r>
      <w:r w:rsidR="00FA4D05">
        <w:rPr>
          <w:rFonts w:cs="Arial"/>
        </w:rPr>
        <w:t xml:space="preserve">(12.7.1.9) </w:t>
      </w:r>
      <w:r w:rsidR="008777F8">
        <w:rPr>
          <w:rFonts w:cs="Arial"/>
        </w:rPr>
        <w:t>puts expediency above accuracy.  The ESAs say cost transparency “</w:t>
      </w:r>
      <w:r w:rsidR="008777F8" w:rsidRPr="008777F8">
        <w:rPr>
          <w:rFonts w:cs="Arial"/>
        </w:rPr>
        <w:t xml:space="preserve">should </w:t>
      </w:r>
      <w:r w:rsidR="008777F8">
        <w:rPr>
          <w:rFonts w:cs="Arial"/>
        </w:rPr>
        <w:t>…</w:t>
      </w:r>
      <w:r w:rsidR="008777F8" w:rsidRPr="008777F8">
        <w:rPr>
          <w:rFonts w:cs="Arial"/>
        </w:rPr>
        <w:t xml:space="preserve"> encourage manufacturers to trade in a way that is in their investors’ best interests, and in particular to minimize such costs</w:t>
      </w:r>
      <w:r w:rsidR="008777F8">
        <w:rPr>
          <w:rFonts w:cs="Arial"/>
        </w:rPr>
        <w:t>”</w:t>
      </w:r>
      <w:r w:rsidR="000468E3">
        <w:rPr>
          <w:rFonts w:cs="Arial"/>
        </w:rPr>
        <w:t xml:space="preserve">, but not to the extent that </w:t>
      </w:r>
      <w:r w:rsidR="00FA4D05">
        <w:rPr>
          <w:rFonts w:cs="Arial"/>
        </w:rPr>
        <w:t xml:space="preserve">attempts to narrow </w:t>
      </w:r>
      <w:r w:rsidR="000468E3">
        <w:rPr>
          <w:rFonts w:cs="Arial"/>
        </w:rPr>
        <w:t xml:space="preserve">the </w:t>
      </w:r>
      <w:r w:rsidR="00FA4D05">
        <w:rPr>
          <w:rFonts w:cs="Arial"/>
        </w:rPr>
        <w:t xml:space="preserve">spread lead to negative implicit costs, </w:t>
      </w:r>
      <w:r w:rsidR="000468E3">
        <w:rPr>
          <w:rFonts w:cs="Arial"/>
        </w:rPr>
        <w:t xml:space="preserve">as </w:t>
      </w:r>
      <w:r w:rsidR="00FA4D05">
        <w:rPr>
          <w:rFonts w:cs="Arial"/>
        </w:rPr>
        <w:t>these</w:t>
      </w:r>
      <w:r>
        <w:rPr>
          <w:rFonts w:cs="Arial"/>
        </w:rPr>
        <w:t xml:space="preserve"> may not be shown</w:t>
      </w:r>
      <w:r w:rsidR="00FA4D05">
        <w:rPr>
          <w:rFonts w:cs="Arial"/>
        </w:rPr>
        <w:t>.</w:t>
      </w:r>
      <w:r>
        <w:rPr>
          <w:rFonts w:cs="Arial"/>
        </w:rPr>
        <w:t xml:space="preserve">  We fail to understand how a small positive implicit cost is </w:t>
      </w:r>
      <w:r w:rsidR="00761C57">
        <w:rPr>
          <w:rFonts w:cs="Arial"/>
        </w:rPr>
        <w:t xml:space="preserve">deemed to be </w:t>
      </w:r>
      <w:r>
        <w:rPr>
          <w:rFonts w:cs="Arial"/>
        </w:rPr>
        <w:t>any more accurate than a small negative implicit cost, when “</w:t>
      </w:r>
      <w:r w:rsidRPr="00880EDF">
        <w:rPr>
          <w:rFonts w:cs="Arial"/>
        </w:rPr>
        <w:t>there needs to be a high level of assurance that the figures shown in the KID are an accurate reflection of the actual costs incurred</w:t>
      </w:r>
      <w:r>
        <w:rPr>
          <w:rFonts w:cs="Arial"/>
        </w:rPr>
        <w:t>”.</w:t>
      </w:r>
    </w:p>
    <w:p w14:paraId="22294E4D" w14:textId="77777777" w:rsidR="00880EDF" w:rsidRDefault="00880EDF" w:rsidP="003E573C">
      <w:pPr>
        <w:rPr>
          <w:rFonts w:cs="Arial"/>
        </w:rPr>
      </w:pPr>
    </w:p>
    <w:p w14:paraId="79D56867" w14:textId="14EDECBC" w:rsidR="008777F8" w:rsidRDefault="00880EDF" w:rsidP="003E573C">
      <w:pPr>
        <w:rPr>
          <w:rFonts w:cs="Arial"/>
        </w:rPr>
      </w:pPr>
      <w:r>
        <w:rPr>
          <w:rFonts w:cs="Arial"/>
        </w:rPr>
        <w:t>If it is felt that some results achieved from the arrival price methodology should not be shown</w:t>
      </w:r>
      <w:r w:rsidR="009C7AFF">
        <w:rPr>
          <w:rFonts w:cs="Arial"/>
        </w:rPr>
        <w:t>, even if they are accurate</w:t>
      </w:r>
      <w:r>
        <w:rPr>
          <w:rFonts w:cs="Arial"/>
        </w:rPr>
        <w:t>, that removes the comparability of different products, in which case we strongly propose that the simplified approach should apply in all cases.</w:t>
      </w:r>
    </w:p>
    <w:p w14:paraId="069FA5BE" w14:textId="35A61B67" w:rsidR="003D0E11" w:rsidRDefault="003D0E11" w:rsidP="003E573C">
      <w:pPr>
        <w:rPr>
          <w:rFonts w:cs="Arial"/>
        </w:rPr>
      </w:pPr>
    </w:p>
    <w:p w14:paraId="40760CCB" w14:textId="218DFDFE" w:rsidR="003D0E11" w:rsidRDefault="003D0E11" w:rsidP="003E573C">
      <w:pPr>
        <w:rPr>
          <w:rFonts w:cs="Arial"/>
        </w:rPr>
      </w:pPr>
      <w:r>
        <w:rPr>
          <w:rFonts w:cs="Arial"/>
        </w:rPr>
        <w:t>One specific example is the application of an anti-dilution adjustment, where an amount may be credited to the fund.  We believe it is fundamentally wrong that this amount must be adjusted to ensure it does not lead to negative implicit costs if the actual amount credited results in that.</w:t>
      </w:r>
    </w:p>
    <w:p w14:paraId="0921D22E" w14:textId="30116E64" w:rsidR="00761C57" w:rsidRDefault="00761C57" w:rsidP="003E573C">
      <w:pPr>
        <w:rPr>
          <w:rFonts w:cs="Arial"/>
        </w:rPr>
      </w:pPr>
    </w:p>
    <w:p w14:paraId="27C4C294" w14:textId="25609329" w:rsidR="00761C57" w:rsidRDefault="00761C57" w:rsidP="003E573C">
      <w:pPr>
        <w:rPr>
          <w:rFonts w:cs="Arial"/>
        </w:rPr>
      </w:pPr>
      <w:r>
        <w:rPr>
          <w:rFonts w:cs="Arial"/>
        </w:rPr>
        <w:t xml:space="preserve">The implication that any transaction in itself can make a profit for investors in a fund must be a fallacy, but insisting on the arrival price methodology, while not permitting resultant negative implicit costs to be deducted from the explicit costs, is equally wrong.  We believe the best solution would be to have a simplified approach to implicit costs </w:t>
      </w:r>
      <w:r w:rsidR="00EE384E">
        <w:rPr>
          <w:rFonts w:cs="Arial"/>
        </w:rPr>
        <w:t xml:space="preserve">(based on the bid-ask spread) </w:t>
      </w:r>
      <w:r>
        <w:rPr>
          <w:rFonts w:cs="Arial"/>
        </w:rPr>
        <w:t>in all cases.</w:t>
      </w:r>
    </w:p>
    <w:permEnd w:id="1305246923"/>
    <w:p w14:paraId="624338D9" w14:textId="29A353DF"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33E911E1" w:rsidR="003E573C" w:rsidRDefault="000468E3" w:rsidP="003E573C">
      <w:pPr>
        <w:rPr>
          <w:rFonts w:cs="Arial"/>
        </w:rPr>
      </w:pPr>
      <w:permStart w:id="700270871" w:edGrp="everyone"/>
      <w:r>
        <w:rPr>
          <w:rFonts w:cs="Arial"/>
        </w:rPr>
        <w:t>We believe that, if UCITS fall under the PRIIPs Regulation, there must be consistency in respect of the customers for whom a KII</w:t>
      </w:r>
      <w:r w:rsidR="000556EF">
        <w:rPr>
          <w:rFonts w:cs="Arial"/>
        </w:rPr>
        <w:t>D</w:t>
      </w:r>
      <w:r>
        <w:rPr>
          <w:rFonts w:cs="Arial"/>
        </w:rPr>
        <w:t xml:space="preserve"> or KID needs to be produced.</w:t>
      </w:r>
    </w:p>
    <w:p w14:paraId="7DA5A39A" w14:textId="003AB981" w:rsidR="000468E3" w:rsidRDefault="000468E3" w:rsidP="003E573C">
      <w:pPr>
        <w:rPr>
          <w:rFonts w:cs="Arial"/>
        </w:rPr>
      </w:pPr>
    </w:p>
    <w:p w14:paraId="60E2E3AA" w14:textId="0F9D2E57" w:rsidR="000468E3" w:rsidRDefault="0007489E" w:rsidP="003E573C">
      <w:pPr>
        <w:rPr>
          <w:rFonts w:cs="Arial"/>
        </w:rPr>
      </w:pPr>
      <w:r>
        <w:rPr>
          <w:rFonts w:cs="Arial"/>
        </w:rPr>
        <w:t>Requiring UCITS to issue PRIIPs KIDs for retail investors and UCITS KIIDs for professional investors would be inefficient</w:t>
      </w:r>
      <w:r w:rsidR="000556EF">
        <w:rPr>
          <w:rFonts w:cs="Arial"/>
        </w:rPr>
        <w:t xml:space="preserve"> and</w:t>
      </w:r>
      <w:r>
        <w:rPr>
          <w:rFonts w:cs="Arial"/>
        </w:rPr>
        <w:t xml:space="preserve"> confusing.  As things stand, there are inconsistencies between UCITS KIIDs and PRIIPs KIDs, such as the scale used </w:t>
      </w:r>
      <w:r w:rsidR="000556EF">
        <w:rPr>
          <w:rFonts w:cs="Arial"/>
        </w:rPr>
        <w:t xml:space="preserve">to present </w:t>
      </w:r>
      <w:r>
        <w:rPr>
          <w:rFonts w:cs="Arial"/>
        </w:rPr>
        <w:t>the SRI and SRRI.  This would result in even more confusion if a</w:t>
      </w:r>
      <w:r w:rsidR="00EE384E">
        <w:rPr>
          <w:rFonts w:cs="Arial"/>
        </w:rPr>
        <w:t>n</w:t>
      </w:r>
      <w:r>
        <w:rPr>
          <w:rFonts w:cs="Arial"/>
        </w:rPr>
        <w:t xml:space="preserve"> investor were to see both documents for the same UCITS fund and find that the risk level, using </w:t>
      </w:r>
      <w:r w:rsidR="000556EF">
        <w:rPr>
          <w:rFonts w:cs="Arial"/>
        </w:rPr>
        <w:t xml:space="preserve">very </w:t>
      </w:r>
      <w:r>
        <w:rPr>
          <w:rFonts w:cs="Arial"/>
        </w:rPr>
        <w:t>similar visuals, appears to be different.</w:t>
      </w:r>
    </w:p>
    <w:p w14:paraId="3A8FA23D" w14:textId="2DE9AB6F" w:rsidR="0007489E" w:rsidRDefault="0007489E" w:rsidP="003E573C">
      <w:pPr>
        <w:rPr>
          <w:rFonts w:cs="Arial"/>
        </w:rPr>
      </w:pPr>
    </w:p>
    <w:p w14:paraId="78629D7C" w14:textId="3FD8FBCF" w:rsidR="0007489E" w:rsidRDefault="0007489E" w:rsidP="003E573C">
      <w:pPr>
        <w:rPr>
          <w:rFonts w:cs="Arial"/>
        </w:rPr>
      </w:pPr>
      <w:r>
        <w:rPr>
          <w:rFonts w:cs="Arial"/>
        </w:rPr>
        <w:lastRenderedPageBreak/>
        <w:t>If</w:t>
      </w:r>
      <w:r w:rsidR="000556EF">
        <w:rPr>
          <w:rFonts w:cs="Arial"/>
        </w:rPr>
        <w:t xml:space="preserve"> it </w:t>
      </w:r>
      <w:r w:rsidR="007C047C">
        <w:rPr>
          <w:rFonts w:cs="Arial"/>
        </w:rPr>
        <w:t xml:space="preserve">is considered </w:t>
      </w:r>
      <w:r w:rsidR="000556EF">
        <w:rPr>
          <w:rFonts w:cs="Arial"/>
        </w:rPr>
        <w:t>that professional investors need a prescribed pre-sale document with key information</w:t>
      </w:r>
      <w:r>
        <w:rPr>
          <w:rFonts w:cs="Arial"/>
        </w:rPr>
        <w:t xml:space="preserve">, we would prefer that </w:t>
      </w:r>
      <w:r w:rsidR="000556EF">
        <w:rPr>
          <w:rFonts w:cs="Arial"/>
        </w:rPr>
        <w:t xml:space="preserve">all </w:t>
      </w:r>
      <w:r>
        <w:rPr>
          <w:rFonts w:cs="Arial"/>
        </w:rPr>
        <w:t xml:space="preserve">UCITS </w:t>
      </w:r>
      <w:r w:rsidR="000556EF">
        <w:rPr>
          <w:rFonts w:cs="Arial"/>
        </w:rPr>
        <w:t xml:space="preserve">share classes </w:t>
      </w:r>
      <w:r>
        <w:rPr>
          <w:rFonts w:cs="Arial"/>
        </w:rPr>
        <w:t xml:space="preserve">are required to issue </w:t>
      </w:r>
      <w:r w:rsidR="002648E2">
        <w:rPr>
          <w:rFonts w:cs="Arial"/>
        </w:rPr>
        <w:t xml:space="preserve">the same document, whether that is a UCITS KIID or a </w:t>
      </w:r>
      <w:r>
        <w:rPr>
          <w:rFonts w:cs="Arial"/>
        </w:rPr>
        <w:t>PRIIPs KID</w:t>
      </w:r>
      <w:r w:rsidR="002648E2">
        <w:rPr>
          <w:rFonts w:cs="Arial"/>
        </w:rPr>
        <w:t>, but not both</w:t>
      </w:r>
      <w:r>
        <w:rPr>
          <w:rFonts w:cs="Arial"/>
        </w:rPr>
        <w:t>, for the sake of consistency.</w:t>
      </w:r>
      <w:r w:rsidR="000556EF">
        <w:rPr>
          <w:rFonts w:cs="Arial"/>
        </w:rPr>
        <w:t xml:space="preserve">  </w:t>
      </w:r>
      <w:r w:rsidR="002648E2">
        <w:rPr>
          <w:rFonts w:cs="Arial"/>
        </w:rPr>
        <w:t>I</w:t>
      </w:r>
      <w:r w:rsidR="000556EF">
        <w:rPr>
          <w:rFonts w:cs="Arial"/>
        </w:rPr>
        <w:t xml:space="preserve">t </w:t>
      </w:r>
      <w:r w:rsidR="00AA5597">
        <w:rPr>
          <w:rFonts w:cs="Arial"/>
        </w:rPr>
        <w:t>should be remembered</w:t>
      </w:r>
      <w:r w:rsidR="000556EF">
        <w:rPr>
          <w:rFonts w:cs="Arial"/>
        </w:rPr>
        <w:t xml:space="preserve"> that some sections of the KID, such as the compensation arrangements, may not apply to all professional investors.</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3E8E88D" w:rsidR="003E573C" w:rsidRDefault="0021162C" w:rsidP="003E573C">
      <w:pPr>
        <w:rPr>
          <w:rFonts w:cs="Arial"/>
        </w:rPr>
      </w:pPr>
      <w:permStart w:id="649920829" w:edGrp="everyone"/>
      <w:r>
        <w:rPr>
          <w:rFonts w:cs="Arial"/>
        </w:rPr>
        <w:t>We believe that, as</w:t>
      </w:r>
      <w:r w:rsidR="000B0384">
        <w:rPr>
          <w:rFonts w:cs="Arial"/>
        </w:rPr>
        <w:t xml:space="preserve"> both the UCITS KIID and the PRIIPs KID are pre-contractual documents, they should be provided at the start of a </w:t>
      </w:r>
      <w:r w:rsidR="006551FB">
        <w:rPr>
          <w:rFonts w:cs="Arial"/>
        </w:rPr>
        <w:t xml:space="preserve">contractual </w:t>
      </w:r>
      <w:r w:rsidR="000B0384">
        <w:rPr>
          <w:rFonts w:cs="Arial"/>
        </w:rPr>
        <w:t xml:space="preserve">savings plan and only thereafter if there is a change to the contractual arrangement.  We not believe that a PRIIP investor </w:t>
      </w:r>
      <w:r w:rsidR="00AA5597">
        <w:rPr>
          <w:rFonts w:cs="Arial"/>
        </w:rPr>
        <w:t xml:space="preserve">should </w:t>
      </w:r>
      <w:r w:rsidR="000B0384">
        <w:rPr>
          <w:rFonts w:cs="Arial"/>
        </w:rPr>
        <w:t xml:space="preserve">receive an updated KID </w:t>
      </w:r>
      <w:r w:rsidR="00AA5597">
        <w:rPr>
          <w:rFonts w:cs="Arial"/>
        </w:rPr>
        <w:t xml:space="preserve">triggered by a change </w:t>
      </w:r>
      <w:r w:rsidR="006551FB">
        <w:rPr>
          <w:rFonts w:cs="Arial"/>
        </w:rPr>
        <w:t>to</w:t>
      </w:r>
      <w:r w:rsidR="000B0384">
        <w:rPr>
          <w:rFonts w:cs="Arial"/>
        </w:rPr>
        <w:t xml:space="preserve"> the level of the SRI</w:t>
      </w:r>
      <w:r w:rsidR="006551FB">
        <w:rPr>
          <w:rFonts w:cs="Arial"/>
        </w:rPr>
        <w:t>, the moderate performance scenario or the overall level of costs</w:t>
      </w:r>
      <w:r w:rsidR="002648E2">
        <w:rPr>
          <w:rFonts w:cs="Arial"/>
        </w:rPr>
        <w:t>, with no change to the contractual arrangement</w:t>
      </w:r>
      <w:r w:rsidR="000B0384">
        <w:rPr>
          <w:rFonts w:cs="Arial"/>
        </w:rPr>
        <w:t>.</w:t>
      </w:r>
    </w:p>
    <w:p w14:paraId="7E03341D" w14:textId="08F1E670" w:rsidR="000B0384" w:rsidRDefault="000B0384" w:rsidP="003E573C">
      <w:pPr>
        <w:rPr>
          <w:rFonts w:cs="Arial"/>
        </w:rPr>
      </w:pPr>
    </w:p>
    <w:p w14:paraId="43221A93" w14:textId="575CA5CD" w:rsidR="000B0384" w:rsidRDefault="000B0384" w:rsidP="003E573C">
      <w:pPr>
        <w:rPr>
          <w:rFonts w:cs="Arial"/>
        </w:rPr>
      </w:pPr>
      <w:r>
        <w:rPr>
          <w:rFonts w:cs="Arial"/>
        </w:rPr>
        <w:t xml:space="preserve">There is a danger that </w:t>
      </w:r>
      <w:r w:rsidR="00481EF2">
        <w:rPr>
          <w:rFonts w:cs="Arial"/>
        </w:rPr>
        <w:t xml:space="preserve">receiving </w:t>
      </w:r>
      <w:r>
        <w:rPr>
          <w:rFonts w:cs="Arial"/>
        </w:rPr>
        <w:t xml:space="preserve">an updated KID may lead an existing </w:t>
      </w:r>
      <w:r w:rsidR="00481EF2">
        <w:rPr>
          <w:rFonts w:cs="Arial"/>
        </w:rPr>
        <w:t xml:space="preserve">PRIIP </w:t>
      </w:r>
      <w:r>
        <w:rPr>
          <w:rFonts w:cs="Arial"/>
        </w:rPr>
        <w:t xml:space="preserve">investor to </w:t>
      </w:r>
      <w:r w:rsidR="00AA5597">
        <w:rPr>
          <w:rFonts w:cs="Arial"/>
        </w:rPr>
        <w:t xml:space="preserve">take action, </w:t>
      </w:r>
      <w:r w:rsidR="00481EF2">
        <w:rPr>
          <w:rFonts w:cs="Arial"/>
        </w:rPr>
        <w:t>possibly</w:t>
      </w:r>
      <w:r>
        <w:rPr>
          <w:rFonts w:cs="Arial"/>
        </w:rPr>
        <w:t xml:space="preserve"> on detrimental terms.  </w:t>
      </w:r>
      <w:r w:rsidR="002648E2">
        <w:rPr>
          <w:rFonts w:cs="Arial"/>
        </w:rPr>
        <w:t>T</w:t>
      </w:r>
      <w:r>
        <w:rPr>
          <w:rFonts w:cs="Arial"/>
        </w:rPr>
        <w:t xml:space="preserve">here is </w:t>
      </w:r>
      <w:r w:rsidR="002648E2">
        <w:rPr>
          <w:rFonts w:cs="Arial"/>
        </w:rPr>
        <w:t>un</w:t>
      </w:r>
      <w:r>
        <w:rPr>
          <w:rFonts w:cs="Arial"/>
        </w:rPr>
        <w:t xml:space="preserve">likely to be </w:t>
      </w:r>
      <w:r w:rsidR="002648E2">
        <w:rPr>
          <w:rFonts w:cs="Arial"/>
        </w:rPr>
        <w:t>any</w:t>
      </w:r>
      <w:r>
        <w:rPr>
          <w:rFonts w:cs="Arial"/>
        </w:rPr>
        <w:t>thing the investor can do about the investment</w:t>
      </w:r>
      <w:r w:rsidR="002648E2">
        <w:rPr>
          <w:rFonts w:cs="Arial"/>
        </w:rPr>
        <w:t>, other than encash it,</w:t>
      </w:r>
      <w:r>
        <w:rPr>
          <w:rFonts w:cs="Arial"/>
        </w:rPr>
        <w:t xml:space="preserve"> in any of the above circumstances</w:t>
      </w:r>
      <w:r w:rsidR="009F3636">
        <w:rPr>
          <w:rFonts w:cs="Arial"/>
        </w:rPr>
        <w:t xml:space="preserve"> and </w:t>
      </w:r>
      <w:r w:rsidR="002648E2">
        <w:rPr>
          <w:rFonts w:cs="Arial"/>
        </w:rPr>
        <w:t>t</w:t>
      </w:r>
      <w:r w:rsidR="009F3636">
        <w:rPr>
          <w:rFonts w:cs="Arial"/>
        </w:rPr>
        <w:t>he</w:t>
      </w:r>
      <w:r w:rsidR="002648E2">
        <w:rPr>
          <w:rFonts w:cs="Arial"/>
        </w:rPr>
        <w:t>y</w:t>
      </w:r>
      <w:r w:rsidR="009F3636">
        <w:rPr>
          <w:rFonts w:cs="Arial"/>
        </w:rPr>
        <w:t xml:space="preserve"> may be confused by receiving a pre-contractual document without having made any change to the arrangement.</w:t>
      </w:r>
    </w:p>
    <w:p w14:paraId="5B3CCE23" w14:textId="736880FF" w:rsidR="009F3636" w:rsidRDefault="009F3636" w:rsidP="003E573C">
      <w:pPr>
        <w:rPr>
          <w:rFonts w:cs="Arial"/>
        </w:rPr>
      </w:pPr>
    </w:p>
    <w:p w14:paraId="0B29BDF6" w14:textId="784BBC92" w:rsidR="009F3636" w:rsidRDefault="00BC4C53" w:rsidP="003E573C">
      <w:pPr>
        <w:rPr>
          <w:rFonts w:cs="Arial"/>
        </w:rPr>
      </w:pPr>
      <w:r>
        <w:rPr>
          <w:rFonts w:cs="Arial"/>
        </w:rPr>
        <w:t>I</w:t>
      </w:r>
      <w:r w:rsidR="009F3636">
        <w:rPr>
          <w:rFonts w:cs="Arial"/>
        </w:rPr>
        <w:t>t is very likely that manufacturer</w:t>
      </w:r>
      <w:r>
        <w:rPr>
          <w:rFonts w:cs="Arial"/>
        </w:rPr>
        <w:t>s will</w:t>
      </w:r>
      <w:r w:rsidR="007014C0">
        <w:rPr>
          <w:rFonts w:cs="Arial"/>
        </w:rPr>
        <w:t xml:space="preserve"> not </w:t>
      </w:r>
      <w:r w:rsidR="009F3636">
        <w:rPr>
          <w:rFonts w:cs="Arial"/>
        </w:rPr>
        <w:t>know the identity of individual investors</w:t>
      </w:r>
      <w:r w:rsidR="008E277B">
        <w:rPr>
          <w:rFonts w:cs="Arial"/>
        </w:rPr>
        <w:t xml:space="preserve"> in UCITS, so an updated KID </w:t>
      </w:r>
      <w:r>
        <w:rPr>
          <w:rFonts w:cs="Arial"/>
        </w:rPr>
        <w:t xml:space="preserve">is unlikely to </w:t>
      </w:r>
      <w:r w:rsidR="008E277B">
        <w:rPr>
          <w:rFonts w:cs="Arial"/>
        </w:rPr>
        <w:t xml:space="preserve">reach an investor </w:t>
      </w:r>
      <w:r>
        <w:rPr>
          <w:rFonts w:cs="Arial"/>
        </w:rPr>
        <w:t>unless an obligation is placed on the investment platform or intermediary, which we do not support</w:t>
      </w:r>
      <w:r w:rsidR="00481EF2">
        <w:rPr>
          <w:rFonts w:cs="Arial"/>
        </w:rPr>
        <w:t>.</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41F42682" w:rsidR="003E573C" w:rsidRDefault="00481EF2" w:rsidP="003E573C">
      <w:pPr>
        <w:rPr>
          <w:rFonts w:cs="Arial"/>
        </w:rPr>
      </w:pPr>
      <w:permStart w:id="803234900" w:edGrp="everyone"/>
      <w:r>
        <w:rPr>
          <w:rFonts w:cs="Arial"/>
        </w:rPr>
        <w:t xml:space="preserve">We agree that Article 4 of EU/583/2010 (with the exception of paragraphs 7 to 11) should apply, where relevant, to all PRIIPs if UCITS are required to publish a PRIIPs KID.  We note that </w:t>
      </w:r>
      <w:r w:rsidR="00A0135E">
        <w:rPr>
          <w:rFonts w:cs="Arial"/>
        </w:rPr>
        <w:t>some paragraphs of Article 4 already apply to PRIIPs KIDs.</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129F324A" w:rsidR="003E573C" w:rsidRDefault="007A17E8" w:rsidP="003E573C">
      <w:pPr>
        <w:rPr>
          <w:rFonts w:cs="Arial"/>
        </w:rPr>
      </w:pPr>
      <w:permStart w:id="2127781944" w:edGrp="everyone"/>
      <w:r>
        <w:rPr>
          <w:rFonts w:cs="Arial"/>
        </w:rPr>
        <w:t xml:space="preserve">We </w:t>
      </w:r>
      <w:r w:rsidR="0099779B">
        <w:rPr>
          <w:rFonts w:cs="Arial"/>
        </w:rPr>
        <w:t>can</w:t>
      </w:r>
      <w:r>
        <w:rPr>
          <w:rFonts w:cs="Arial"/>
        </w:rPr>
        <w:t xml:space="preserve">not see any reason why these </w:t>
      </w:r>
      <w:r w:rsidR="0099779B">
        <w:rPr>
          <w:rFonts w:cs="Arial"/>
        </w:rPr>
        <w:t>questions should not apply to all types of PRIIPs.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4ACDFBEF" w14:textId="77777777" w:rsidR="006865CB" w:rsidRDefault="006865CB" w:rsidP="006865CB">
      <w:pPr>
        <w:rPr>
          <w:rFonts w:cs="Arial"/>
        </w:rPr>
      </w:pPr>
      <w:permStart w:id="1746749030" w:edGrp="everyone"/>
      <w:r>
        <w:rPr>
          <w:rFonts w:cs="Arial"/>
        </w:rPr>
        <w:t>We cannot see any reason why these questions should not apply to all types of PRIIPs.</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1EB5504C" w:rsidR="003E573C" w:rsidRDefault="006865CB" w:rsidP="003E573C">
      <w:pPr>
        <w:rPr>
          <w:rFonts w:cs="Arial"/>
        </w:rPr>
      </w:pPr>
      <w:permStart w:id="479034423" w:edGrp="everyone"/>
      <w:r>
        <w:rPr>
          <w:rFonts w:cs="Arial"/>
        </w:rPr>
        <w:t xml:space="preserve">We </w:t>
      </w:r>
      <w:r w:rsidR="00FC5BAB">
        <w:rPr>
          <w:rFonts w:cs="Arial"/>
        </w:rPr>
        <w:t>are not aware of any other types of PRIIP, other than NURS, that would be affected by these articles.</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49E3FB94" w14:textId="77777777" w:rsidR="00FC5BAB" w:rsidRDefault="00116905" w:rsidP="003E573C">
      <w:pPr>
        <w:rPr>
          <w:rFonts w:cs="Arial"/>
        </w:rPr>
      </w:pPr>
      <w:permStart w:id="1857164361" w:edGrp="everyone"/>
      <w:r>
        <w:rPr>
          <w:rFonts w:cs="Arial"/>
        </w:rPr>
        <w:t xml:space="preserve">While we can see </w:t>
      </w:r>
      <w:r w:rsidR="00FC5BAB">
        <w:rPr>
          <w:rFonts w:cs="Arial"/>
        </w:rPr>
        <w:t xml:space="preserve">some </w:t>
      </w:r>
      <w:r>
        <w:rPr>
          <w:rFonts w:cs="Arial"/>
        </w:rPr>
        <w:t>merit in this proposal, we also</w:t>
      </w:r>
      <w:r w:rsidR="00CD31E2">
        <w:rPr>
          <w:rFonts w:cs="Arial"/>
        </w:rPr>
        <w:t xml:space="preserve"> have concerns</w:t>
      </w:r>
      <w:r w:rsidR="00C04618">
        <w:rPr>
          <w:rFonts w:cs="Arial"/>
        </w:rPr>
        <w:t>.</w:t>
      </w:r>
    </w:p>
    <w:p w14:paraId="44A9794C" w14:textId="77777777" w:rsidR="00FC5BAB" w:rsidRDefault="00FC5BAB" w:rsidP="003E573C">
      <w:pPr>
        <w:rPr>
          <w:rFonts w:cs="Arial"/>
        </w:rPr>
      </w:pPr>
    </w:p>
    <w:p w14:paraId="34148816" w14:textId="4A374045" w:rsidR="00FC5BAB" w:rsidRDefault="00C04618" w:rsidP="003E573C">
      <w:pPr>
        <w:rPr>
          <w:rFonts w:cs="Arial"/>
        </w:rPr>
      </w:pPr>
      <w:r>
        <w:rPr>
          <w:rFonts w:cs="Arial"/>
        </w:rPr>
        <w:t xml:space="preserve">One of the key benefits would be that, for </w:t>
      </w:r>
      <w:r w:rsidR="00CD31E2">
        <w:rPr>
          <w:rFonts w:cs="Arial"/>
        </w:rPr>
        <w:t xml:space="preserve">at least </w:t>
      </w:r>
      <w:r>
        <w:rPr>
          <w:rFonts w:cs="Arial"/>
        </w:rPr>
        <w:t xml:space="preserve">some investors, all </w:t>
      </w:r>
      <w:r w:rsidR="00CD31E2">
        <w:rPr>
          <w:rFonts w:cs="Arial"/>
        </w:rPr>
        <w:t xml:space="preserve">of </w:t>
      </w:r>
      <w:r>
        <w:rPr>
          <w:rFonts w:cs="Arial"/>
        </w:rPr>
        <w:t xml:space="preserve">the relevant information </w:t>
      </w:r>
      <w:r w:rsidR="00CD31E2">
        <w:rPr>
          <w:rFonts w:cs="Arial"/>
        </w:rPr>
        <w:t xml:space="preserve">for product and investment option </w:t>
      </w:r>
      <w:r>
        <w:rPr>
          <w:rFonts w:cs="Arial"/>
        </w:rPr>
        <w:t xml:space="preserve">would be </w:t>
      </w:r>
      <w:r w:rsidR="00CD31E2">
        <w:rPr>
          <w:rFonts w:cs="Arial"/>
        </w:rPr>
        <w:t>shown</w:t>
      </w:r>
      <w:r>
        <w:rPr>
          <w:rFonts w:cs="Arial"/>
        </w:rPr>
        <w:t>.</w:t>
      </w:r>
    </w:p>
    <w:p w14:paraId="5B28A960" w14:textId="77777777" w:rsidR="00FC5BAB" w:rsidRDefault="00FC5BAB" w:rsidP="003E573C">
      <w:pPr>
        <w:rPr>
          <w:rFonts w:cs="Arial"/>
        </w:rPr>
      </w:pPr>
    </w:p>
    <w:p w14:paraId="085E90ED" w14:textId="34584E61" w:rsidR="003E573C" w:rsidRDefault="00C04618" w:rsidP="003E573C">
      <w:pPr>
        <w:rPr>
          <w:rFonts w:cs="Arial"/>
        </w:rPr>
      </w:pPr>
      <w:r>
        <w:rPr>
          <w:rFonts w:cs="Arial"/>
        </w:rPr>
        <w:t xml:space="preserve">However, we </w:t>
      </w:r>
      <w:r w:rsidR="00FC5BAB">
        <w:rPr>
          <w:rFonts w:cs="Arial"/>
        </w:rPr>
        <w:t xml:space="preserve">would </w:t>
      </w:r>
      <w:r>
        <w:rPr>
          <w:rFonts w:cs="Arial"/>
        </w:rPr>
        <w:t xml:space="preserve">caution against the possibility of potential investors feeling they are being directed towards what may not </w:t>
      </w:r>
      <w:r w:rsidR="00FC5BAB">
        <w:rPr>
          <w:rFonts w:cs="Arial"/>
        </w:rPr>
        <w:t xml:space="preserve">be </w:t>
      </w:r>
      <w:r>
        <w:rPr>
          <w:rFonts w:cs="Arial"/>
        </w:rPr>
        <w:t>the most suitable investment options for them</w:t>
      </w:r>
      <w:r w:rsidR="00FC5BAB">
        <w:rPr>
          <w:rFonts w:cs="Arial"/>
        </w:rPr>
        <w:t xml:space="preserve"> just because they </w:t>
      </w:r>
      <w:r w:rsidR="00E54C5D">
        <w:rPr>
          <w:rFonts w:cs="Arial"/>
        </w:rPr>
        <w:t xml:space="preserve">may be </w:t>
      </w:r>
      <w:r w:rsidR="00FC5BAB">
        <w:rPr>
          <w:rFonts w:cs="Arial"/>
        </w:rPr>
        <w:t>popular with other investors</w:t>
      </w:r>
      <w:r w:rsidR="00E54C5D">
        <w:rPr>
          <w:rFonts w:cs="Arial"/>
        </w:rPr>
        <w:t>,</w:t>
      </w:r>
      <w:r w:rsidR="00FC5BAB">
        <w:rPr>
          <w:rFonts w:cs="Arial"/>
        </w:rPr>
        <w:t xml:space="preserve"> because the manufacturer is promoting the investment or because the investment option has the lowest costs and charges.  There may be too much </w:t>
      </w:r>
      <w:r>
        <w:rPr>
          <w:rFonts w:cs="Arial"/>
        </w:rPr>
        <w:t xml:space="preserve">discretion </w:t>
      </w:r>
      <w:r w:rsidR="007E0923">
        <w:rPr>
          <w:rFonts w:cs="Arial"/>
        </w:rPr>
        <w:t xml:space="preserve">under the options </w:t>
      </w:r>
      <w:r>
        <w:rPr>
          <w:rFonts w:cs="Arial"/>
        </w:rPr>
        <w:t>to include “those (expected to be the) most frequently selected”</w:t>
      </w:r>
      <w:r w:rsidR="007E0923">
        <w:rPr>
          <w:rFonts w:cs="Arial"/>
        </w:rPr>
        <w:t xml:space="preserve"> and</w:t>
      </w:r>
      <w:r w:rsidR="00CD31E2">
        <w:rPr>
          <w:rFonts w:cs="Arial"/>
        </w:rPr>
        <w:t xml:space="preserve"> the need “to enable the diversity of investment objectives or risk exposures…to be reflected”</w:t>
      </w:r>
      <w:r>
        <w:rPr>
          <w:rFonts w:cs="Arial"/>
        </w:rPr>
        <w:t>.</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559DB892" w:rsidR="003E573C" w:rsidRDefault="00CD31E2" w:rsidP="003E573C">
      <w:pPr>
        <w:rPr>
          <w:rFonts w:cs="Arial"/>
        </w:rPr>
      </w:pPr>
      <w:permStart w:id="1989770724" w:edGrp="everyone"/>
      <w:r>
        <w:rPr>
          <w:rFonts w:cs="Arial"/>
        </w:rPr>
        <w:t xml:space="preserve">Manufacturers of open-architecture MOPs do not </w:t>
      </w:r>
      <w:r w:rsidR="003E3B0E">
        <w:rPr>
          <w:rFonts w:cs="Arial"/>
        </w:rPr>
        <w:t xml:space="preserve">generally </w:t>
      </w:r>
      <w:r>
        <w:rPr>
          <w:rFonts w:cs="Arial"/>
        </w:rPr>
        <w:t>play any role in the selection of the underlying investment</w:t>
      </w:r>
      <w:r w:rsidR="00326791">
        <w:rPr>
          <w:rFonts w:cs="Arial"/>
        </w:rPr>
        <w:t xml:space="preserve"> options</w:t>
      </w:r>
      <w:r>
        <w:rPr>
          <w:rFonts w:cs="Arial"/>
        </w:rPr>
        <w:t xml:space="preserve">, so may </w:t>
      </w:r>
      <w:r w:rsidR="00326791">
        <w:rPr>
          <w:rFonts w:cs="Arial"/>
        </w:rPr>
        <w:t xml:space="preserve">not </w:t>
      </w:r>
      <w:r>
        <w:rPr>
          <w:rFonts w:cs="Arial"/>
        </w:rPr>
        <w:t xml:space="preserve">have </w:t>
      </w:r>
      <w:r w:rsidR="00326791">
        <w:rPr>
          <w:rFonts w:cs="Arial"/>
        </w:rPr>
        <w:t xml:space="preserve">a clear </w:t>
      </w:r>
      <w:r>
        <w:rPr>
          <w:rFonts w:cs="Arial"/>
        </w:rPr>
        <w:t>idea of what is expected to be frequently selected.</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15E99754" w:rsidR="003E573C" w:rsidRDefault="004F5F00" w:rsidP="003E573C">
      <w:pPr>
        <w:rPr>
          <w:rFonts w:cs="Arial"/>
        </w:rPr>
      </w:pPr>
      <w:permStart w:id="1417153881" w:edGrp="everyone"/>
      <w:r>
        <w:rPr>
          <w:rFonts w:cs="Arial"/>
        </w:rPr>
        <w:t>Please s</w:t>
      </w:r>
      <w:r w:rsidR="00CD31E2">
        <w:rPr>
          <w:rFonts w:cs="Arial"/>
        </w:rPr>
        <w:t>ee our response to Q</w:t>
      </w:r>
      <w:r w:rsidR="00326791">
        <w:rPr>
          <w:rFonts w:cs="Arial"/>
        </w:rPr>
        <w:t>.</w:t>
      </w:r>
      <w:r>
        <w:rPr>
          <w:rFonts w:cs="Arial"/>
        </w:rPr>
        <w:t>50.</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304EFE96" w:rsidR="003E573C" w:rsidRDefault="004F5F00" w:rsidP="003E573C">
      <w:pPr>
        <w:rPr>
          <w:rFonts w:cs="Arial"/>
        </w:rPr>
      </w:pPr>
      <w:permStart w:id="481841044" w:edGrp="everyone"/>
      <w:r>
        <w:rPr>
          <w:rFonts w:cs="Arial"/>
        </w:rPr>
        <w:t xml:space="preserve">We </w:t>
      </w:r>
      <w:r w:rsidR="00E54C5D">
        <w:rPr>
          <w:rFonts w:cs="Arial"/>
        </w:rPr>
        <w:t>believe</w:t>
      </w:r>
      <w:r w:rsidR="00326791">
        <w:rPr>
          <w:rFonts w:cs="Arial"/>
        </w:rPr>
        <w:t xml:space="preserve"> that the introduction of many more figures is likely to be an overload of information</w:t>
      </w:r>
      <w:r>
        <w:rPr>
          <w:rFonts w:cs="Arial"/>
        </w:rPr>
        <w:t xml:space="preserve"> that runs the risk of confusing retail investors - the example </w:t>
      </w:r>
      <w:r w:rsidR="00D84629">
        <w:rPr>
          <w:rFonts w:cs="Arial"/>
        </w:rPr>
        <w:t xml:space="preserve">Costs over Time table </w:t>
      </w:r>
      <w:r>
        <w:rPr>
          <w:rFonts w:cs="Arial"/>
        </w:rPr>
        <w:t xml:space="preserve">in Section 11 contains 72 </w:t>
      </w:r>
      <w:r w:rsidR="00326791">
        <w:rPr>
          <w:rFonts w:cs="Arial"/>
        </w:rPr>
        <w:t>cost figures</w:t>
      </w:r>
      <w:r>
        <w:rPr>
          <w:rFonts w:cs="Arial"/>
        </w:rPr>
        <w:t xml:space="preserve"> and the table could contain up to 84 </w:t>
      </w:r>
      <w:r w:rsidR="00326791">
        <w:rPr>
          <w:rFonts w:cs="Arial"/>
        </w:rPr>
        <w:t xml:space="preserve">different cost figures, so the table is likely to </w:t>
      </w:r>
      <w:r w:rsidR="00E54C5D">
        <w:rPr>
          <w:rFonts w:cs="Arial"/>
        </w:rPr>
        <w:t xml:space="preserve">confuse or </w:t>
      </w:r>
      <w:r w:rsidR="00326791">
        <w:rPr>
          <w:rFonts w:cs="Arial"/>
        </w:rPr>
        <w:t>be ignored completely</w:t>
      </w:r>
      <w:r w:rsidR="00E54C5D">
        <w:rPr>
          <w:rFonts w:cs="Arial"/>
        </w:rPr>
        <w:t>, rather</w:t>
      </w:r>
      <w:r w:rsidR="00326791">
        <w:rPr>
          <w:rFonts w:cs="Arial"/>
        </w:rPr>
        <w:t xml:space="preserve"> than studied in detail</w:t>
      </w:r>
      <w:r>
        <w:rPr>
          <w:rFonts w:cs="Arial"/>
        </w:rPr>
        <w:t>.</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lastRenderedPageBreak/>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0568" w14:textId="77777777" w:rsidR="00FC5BAB" w:rsidRDefault="00FC5BAB">
      <w:r>
        <w:separator/>
      </w:r>
    </w:p>
    <w:p w14:paraId="0B84493E" w14:textId="77777777" w:rsidR="00FC5BAB" w:rsidRDefault="00FC5BAB"/>
  </w:endnote>
  <w:endnote w:type="continuationSeparator" w:id="0">
    <w:p w14:paraId="5FA33E23" w14:textId="77777777" w:rsidR="00FC5BAB" w:rsidRDefault="00FC5BAB">
      <w:r>
        <w:continuationSeparator/>
      </w:r>
    </w:p>
    <w:p w14:paraId="1493BE07" w14:textId="77777777" w:rsidR="00FC5BAB" w:rsidRDefault="00FC5BAB"/>
  </w:endnote>
  <w:endnote w:type="continuationNotice" w:id="1">
    <w:p w14:paraId="77429A71" w14:textId="77777777" w:rsidR="00FC5BAB" w:rsidRDefault="00FC5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FC5BAB" w:rsidRDefault="00FC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C5BAB" w:rsidRPr="00616B9B" w14:paraId="6A3CB0EF" w14:textId="77777777" w:rsidTr="00315E96">
      <w:trPr>
        <w:trHeight w:val="284"/>
      </w:trPr>
      <w:tc>
        <w:tcPr>
          <w:tcW w:w="8460" w:type="dxa"/>
        </w:tcPr>
        <w:p w14:paraId="6A3CB0ED" w14:textId="77777777" w:rsidR="00FC5BAB" w:rsidRPr="00315E96" w:rsidRDefault="00FC5BAB" w:rsidP="00315E96">
          <w:pPr>
            <w:pStyle w:val="00Footer"/>
            <w:rPr>
              <w:lang w:val="fr-FR"/>
            </w:rPr>
          </w:pPr>
        </w:p>
      </w:tc>
      <w:tc>
        <w:tcPr>
          <w:tcW w:w="952" w:type="dxa"/>
        </w:tcPr>
        <w:p w14:paraId="6A3CB0EE" w14:textId="23180CB7" w:rsidR="00FC5BAB" w:rsidRPr="00616B9B" w:rsidRDefault="00FC5BA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FC5BAB" w:rsidRDefault="00FC5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FC5BAB" w:rsidRDefault="00FC5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FC5BAB" w:rsidRDefault="00FC5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7627" w14:textId="77777777" w:rsidR="00FC5BAB" w:rsidRDefault="00FC5BAB">
      <w:r>
        <w:separator/>
      </w:r>
    </w:p>
    <w:p w14:paraId="54B9A30A" w14:textId="77777777" w:rsidR="00FC5BAB" w:rsidRDefault="00FC5BAB"/>
  </w:footnote>
  <w:footnote w:type="continuationSeparator" w:id="0">
    <w:p w14:paraId="403328AC" w14:textId="77777777" w:rsidR="00FC5BAB" w:rsidRDefault="00FC5BAB">
      <w:r>
        <w:continuationSeparator/>
      </w:r>
    </w:p>
    <w:p w14:paraId="05AC2F38" w14:textId="77777777" w:rsidR="00FC5BAB" w:rsidRDefault="00FC5BAB"/>
  </w:footnote>
  <w:footnote w:type="continuationNotice" w:id="1">
    <w:p w14:paraId="3A008AFC" w14:textId="77777777" w:rsidR="00FC5BAB" w:rsidRDefault="00FC5BAB"/>
  </w:footnote>
  <w:footnote w:id="2">
    <w:p w14:paraId="3ADCE2CB" w14:textId="77777777" w:rsidR="00FC5BAB" w:rsidRPr="009E1A8D" w:rsidRDefault="00FC5BAB"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FC5BAB" w:rsidRDefault="00FC5BAB"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FC5BAB" w:rsidRDefault="00FC5BAB"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FC5BAB" w:rsidRPr="00653F3B" w:rsidRDefault="00FC5BAB"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FC5BAB" w:rsidRDefault="00FC5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FC5BAB" w:rsidRDefault="00FC5BAB">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FC5BAB" w:rsidRDefault="00FC5BAB"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FC5BAB" w:rsidRDefault="00FC5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C5BAB" w:rsidRPr="002F4496" w14:paraId="6A3CB0F5" w14:textId="77777777" w:rsidTr="000C06C9">
      <w:trPr>
        <w:trHeight w:val="284"/>
      </w:trPr>
      <w:tc>
        <w:tcPr>
          <w:tcW w:w="8460" w:type="dxa"/>
        </w:tcPr>
        <w:p w14:paraId="6A3CB0F3" w14:textId="77777777" w:rsidR="00FC5BAB" w:rsidRPr="000C3B6D" w:rsidRDefault="00FC5BAB" w:rsidP="000C06C9">
          <w:pPr>
            <w:pStyle w:val="00Footer"/>
            <w:rPr>
              <w:lang w:val="fr-FR"/>
            </w:rPr>
          </w:pPr>
        </w:p>
      </w:tc>
      <w:tc>
        <w:tcPr>
          <w:tcW w:w="952" w:type="dxa"/>
        </w:tcPr>
        <w:p w14:paraId="6A3CB0F4" w14:textId="77777777" w:rsidR="00FC5BAB" w:rsidRPr="00146B34" w:rsidRDefault="00FC5BAB" w:rsidP="000C06C9">
          <w:pPr>
            <w:pStyle w:val="00aPagenumber"/>
            <w:rPr>
              <w:lang w:val="fr-FR"/>
            </w:rPr>
          </w:pPr>
        </w:p>
      </w:tc>
    </w:tr>
  </w:tbl>
  <w:p w14:paraId="6A3CB0F6" w14:textId="77777777" w:rsidR="00FC5BAB" w:rsidRPr="00DB46C3" w:rsidRDefault="00FC5BAB">
    <w:pPr>
      <w:rPr>
        <w:lang w:val="fr-FR"/>
      </w:rPr>
    </w:pPr>
  </w:p>
  <w:p w14:paraId="6A3CB0F7" w14:textId="77777777" w:rsidR="00FC5BAB" w:rsidRPr="002F4496" w:rsidRDefault="00FC5BAB">
    <w:pPr>
      <w:pStyle w:val="Header"/>
      <w:rPr>
        <w:lang w:val="fr-FR"/>
      </w:rPr>
    </w:pPr>
  </w:p>
  <w:p w14:paraId="6A3CB0F8" w14:textId="77777777" w:rsidR="00FC5BAB" w:rsidRPr="002F4496" w:rsidRDefault="00FC5BAB" w:rsidP="000C06C9">
    <w:pPr>
      <w:pStyle w:val="Header"/>
      <w:tabs>
        <w:tab w:val="clear" w:pos="4536"/>
        <w:tab w:val="clear" w:pos="9072"/>
        <w:tab w:val="left" w:pos="8227"/>
      </w:tabs>
      <w:rPr>
        <w:lang w:val="fr-FR"/>
      </w:rPr>
    </w:pPr>
  </w:p>
  <w:p w14:paraId="6A3CB0F9" w14:textId="77777777" w:rsidR="00FC5BAB" w:rsidRPr="002F4496" w:rsidRDefault="00FC5BAB" w:rsidP="000C06C9">
    <w:pPr>
      <w:pStyle w:val="Header"/>
      <w:tabs>
        <w:tab w:val="clear" w:pos="4536"/>
        <w:tab w:val="clear" w:pos="9072"/>
        <w:tab w:val="left" w:pos="8227"/>
      </w:tabs>
      <w:rPr>
        <w:lang w:val="fr-FR"/>
      </w:rPr>
    </w:pPr>
  </w:p>
  <w:p w14:paraId="6A3CB0FA" w14:textId="77777777" w:rsidR="00FC5BAB" w:rsidRPr="002F4496" w:rsidRDefault="00FC5BAB">
    <w:pPr>
      <w:pStyle w:val="Header"/>
      <w:rPr>
        <w:lang w:val="fr-FR"/>
      </w:rPr>
    </w:pPr>
  </w:p>
  <w:p w14:paraId="6A3CB0FB" w14:textId="77777777" w:rsidR="00FC5BAB" w:rsidRPr="002F4496" w:rsidRDefault="00FC5BAB">
    <w:pPr>
      <w:pStyle w:val="Header"/>
      <w:rPr>
        <w:lang w:val="fr-FR"/>
      </w:rPr>
    </w:pPr>
  </w:p>
  <w:p w14:paraId="6A3CB0FC" w14:textId="77777777" w:rsidR="00FC5BAB" w:rsidRPr="002F4496" w:rsidRDefault="00FC5BAB">
    <w:pPr>
      <w:pStyle w:val="Header"/>
      <w:rPr>
        <w:lang w:val="fr-FR"/>
      </w:rPr>
    </w:pPr>
  </w:p>
  <w:p w14:paraId="6A3CB0FD" w14:textId="77777777" w:rsidR="00FC5BAB" w:rsidRPr="002F4496" w:rsidRDefault="00FC5BAB">
    <w:pPr>
      <w:pStyle w:val="Header"/>
      <w:rPr>
        <w:lang w:val="fr-FR"/>
      </w:rPr>
    </w:pPr>
  </w:p>
  <w:p w14:paraId="6A3CB0FE" w14:textId="77777777" w:rsidR="00FC5BAB" w:rsidRPr="002F4496" w:rsidRDefault="00FC5BAB">
    <w:pPr>
      <w:pStyle w:val="Header"/>
      <w:rPr>
        <w:highlight w:val="yellow"/>
        <w:lang w:val="fr-FR"/>
      </w:rPr>
    </w:pPr>
  </w:p>
  <w:p w14:paraId="6A3CB0FF" w14:textId="05D5FF53" w:rsidR="00FC5BAB" w:rsidRDefault="00FC5BA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C4B22"/>
    <w:multiLevelType w:val="hybridMultilevel"/>
    <w:tmpl w:val="E89C602A"/>
    <w:lvl w:ilvl="0" w:tplc="03E0FC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2"/>
  </w:num>
  <w:num w:numId="3">
    <w:abstractNumId w:val="13"/>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9"/>
  </w:num>
  <w:num w:numId="16">
    <w:abstractNumId w:val="1"/>
  </w:num>
  <w:num w:numId="17">
    <w:abstractNumId w:val="16"/>
  </w:num>
  <w:num w:numId="18">
    <w:abstractNumId w:val="17"/>
  </w:num>
  <w:num w:numId="19">
    <w:abstractNumId w:val="19"/>
  </w:num>
  <w:num w:numId="20">
    <w:abstractNumId w:val="33"/>
  </w:num>
  <w:num w:numId="21">
    <w:abstractNumId w:val="44"/>
  </w:num>
  <w:num w:numId="22">
    <w:abstractNumId w:val="31"/>
  </w:num>
  <w:num w:numId="23">
    <w:abstractNumId w:val="8"/>
  </w:num>
  <w:num w:numId="24">
    <w:abstractNumId w:val="37"/>
  </w:num>
  <w:num w:numId="25">
    <w:abstractNumId w:val="36"/>
  </w:num>
  <w:num w:numId="26">
    <w:abstractNumId w:val="23"/>
  </w:num>
  <w:num w:numId="27">
    <w:abstractNumId w:val="41"/>
  </w:num>
  <w:num w:numId="28">
    <w:abstractNumId w:val="46"/>
  </w:num>
  <w:num w:numId="29">
    <w:abstractNumId w:val="5"/>
  </w:num>
  <w:num w:numId="30">
    <w:abstractNumId w:val="2"/>
  </w:num>
  <w:num w:numId="31">
    <w:abstractNumId w:val="25"/>
  </w:num>
  <w:num w:numId="32">
    <w:abstractNumId w:val="24"/>
  </w:num>
  <w:num w:numId="33">
    <w:abstractNumId w:val="43"/>
  </w:num>
  <w:num w:numId="34">
    <w:abstractNumId w:val="42"/>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7"/>
  </w:num>
  <w:num w:numId="39">
    <w:abstractNumId w:val="14"/>
  </w:num>
  <w:num w:numId="40">
    <w:abstractNumId w:val="11"/>
  </w:num>
  <w:num w:numId="41">
    <w:abstractNumId w:val="20"/>
  </w:num>
  <w:num w:numId="42">
    <w:abstractNumId w:val="40"/>
  </w:num>
  <w:num w:numId="43">
    <w:abstractNumId w:val="30"/>
  </w:num>
  <w:num w:numId="44">
    <w:abstractNumId w:val="30"/>
    <w:lvlOverride w:ilvl="0">
      <w:startOverride w:val="1"/>
    </w:lvlOverride>
  </w:num>
  <w:num w:numId="45">
    <w:abstractNumId w:val="28"/>
  </w:num>
  <w:num w:numId="46">
    <w:abstractNumId w:val="7"/>
  </w:num>
  <w:num w:numId="47">
    <w:abstractNumId w:val="34"/>
  </w:num>
  <w:num w:numId="4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4505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01A"/>
    <w:rsid w:val="00041858"/>
    <w:rsid w:val="00041F34"/>
    <w:rsid w:val="0004389E"/>
    <w:rsid w:val="000439D8"/>
    <w:rsid w:val="000463A6"/>
    <w:rsid w:val="000468E3"/>
    <w:rsid w:val="00046CC9"/>
    <w:rsid w:val="00046E91"/>
    <w:rsid w:val="000502FE"/>
    <w:rsid w:val="0005126D"/>
    <w:rsid w:val="00051992"/>
    <w:rsid w:val="00051DFE"/>
    <w:rsid w:val="00051E9A"/>
    <w:rsid w:val="000521A7"/>
    <w:rsid w:val="00052F47"/>
    <w:rsid w:val="0005399B"/>
    <w:rsid w:val="00054DE6"/>
    <w:rsid w:val="000556EF"/>
    <w:rsid w:val="00055BEF"/>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89E"/>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384"/>
    <w:rsid w:val="000B145F"/>
    <w:rsid w:val="000B275C"/>
    <w:rsid w:val="000B2C3D"/>
    <w:rsid w:val="000B55C0"/>
    <w:rsid w:val="000B5DF2"/>
    <w:rsid w:val="000B77BD"/>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6905"/>
    <w:rsid w:val="00117C20"/>
    <w:rsid w:val="00120F0E"/>
    <w:rsid w:val="00121BED"/>
    <w:rsid w:val="001222B8"/>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3F8A"/>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EE5"/>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3D8"/>
    <w:rsid w:val="001D6401"/>
    <w:rsid w:val="001D66C9"/>
    <w:rsid w:val="001D722A"/>
    <w:rsid w:val="001E04FC"/>
    <w:rsid w:val="001E2C7B"/>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62C"/>
    <w:rsid w:val="00211E2F"/>
    <w:rsid w:val="00211E9E"/>
    <w:rsid w:val="00214FB4"/>
    <w:rsid w:val="00215940"/>
    <w:rsid w:val="00217C23"/>
    <w:rsid w:val="00220561"/>
    <w:rsid w:val="00220CE4"/>
    <w:rsid w:val="00222D9B"/>
    <w:rsid w:val="002234E3"/>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48E2"/>
    <w:rsid w:val="00266B9A"/>
    <w:rsid w:val="00270E54"/>
    <w:rsid w:val="00273681"/>
    <w:rsid w:val="002754B5"/>
    <w:rsid w:val="002764C5"/>
    <w:rsid w:val="002772AE"/>
    <w:rsid w:val="00280613"/>
    <w:rsid w:val="0028274D"/>
    <w:rsid w:val="00282B96"/>
    <w:rsid w:val="00282DFB"/>
    <w:rsid w:val="002833D6"/>
    <w:rsid w:val="00283F51"/>
    <w:rsid w:val="00284765"/>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34E7"/>
    <w:rsid w:val="002F4139"/>
    <w:rsid w:val="00300624"/>
    <w:rsid w:val="00300F56"/>
    <w:rsid w:val="00301006"/>
    <w:rsid w:val="00303565"/>
    <w:rsid w:val="00304A71"/>
    <w:rsid w:val="003066C8"/>
    <w:rsid w:val="0030739D"/>
    <w:rsid w:val="00307AFB"/>
    <w:rsid w:val="0031069F"/>
    <w:rsid w:val="00311184"/>
    <w:rsid w:val="00312675"/>
    <w:rsid w:val="00314013"/>
    <w:rsid w:val="00314945"/>
    <w:rsid w:val="00315389"/>
    <w:rsid w:val="00315746"/>
    <w:rsid w:val="00315895"/>
    <w:rsid w:val="00315E96"/>
    <w:rsid w:val="00317FC8"/>
    <w:rsid w:val="00320B9B"/>
    <w:rsid w:val="003223D7"/>
    <w:rsid w:val="00322CD5"/>
    <w:rsid w:val="00323D9F"/>
    <w:rsid w:val="00324011"/>
    <w:rsid w:val="00324FDB"/>
    <w:rsid w:val="00325F48"/>
    <w:rsid w:val="00326791"/>
    <w:rsid w:val="003273FE"/>
    <w:rsid w:val="0033194F"/>
    <w:rsid w:val="00332304"/>
    <w:rsid w:val="00332406"/>
    <w:rsid w:val="00332D8D"/>
    <w:rsid w:val="00336420"/>
    <w:rsid w:val="00336B56"/>
    <w:rsid w:val="00337A3F"/>
    <w:rsid w:val="00341B25"/>
    <w:rsid w:val="00341EC0"/>
    <w:rsid w:val="0034240C"/>
    <w:rsid w:val="00344496"/>
    <w:rsid w:val="00345968"/>
    <w:rsid w:val="003472D3"/>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1170"/>
    <w:rsid w:val="00372299"/>
    <w:rsid w:val="00372F02"/>
    <w:rsid w:val="00373729"/>
    <w:rsid w:val="00373C91"/>
    <w:rsid w:val="003747A6"/>
    <w:rsid w:val="003748F0"/>
    <w:rsid w:val="003755C6"/>
    <w:rsid w:val="00375AEF"/>
    <w:rsid w:val="00376367"/>
    <w:rsid w:val="00376823"/>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B7B36"/>
    <w:rsid w:val="003C0343"/>
    <w:rsid w:val="003C0E87"/>
    <w:rsid w:val="003C1C32"/>
    <w:rsid w:val="003C2A27"/>
    <w:rsid w:val="003C40DA"/>
    <w:rsid w:val="003C42BA"/>
    <w:rsid w:val="003C462F"/>
    <w:rsid w:val="003C4A02"/>
    <w:rsid w:val="003C4F05"/>
    <w:rsid w:val="003C6191"/>
    <w:rsid w:val="003C6E49"/>
    <w:rsid w:val="003C74B0"/>
    <w:rsid w:val="003D0CBF"/>
    <w:rsid w:val="003D0DD6"/>
    <w:rsid w:val="003D0E11"/>
    <w:rsid w:val="003D4B73"/>
    <w:rsid w:val="003D503B"/>
    <w:rsid w:val="003D605E"/>
    <w:rsid w:val="003D61D1"/>
    <w:rsid w:val="003D6780"/>
    <w:rsid w:val="003D6FCB"/>
    <w:rsid w:val="003E0F84"/>
    <w:rsid w:val="003E1FF3"/>
    <w:rsid w:val="003E3ACA"/>
    <w:rsid w:val="003E3B0E"/>
    <w:rsid w:val="003E50EA"/>
    <w:rsid w:val="003E573C"/>
    <w:rsid w:val="003E68C7"/>
    <w:rsid w:val="003E79B0"/>
    <w:rsid w:val="003F0403"/>
    <w:rsid w:val="003F1094"/>
    <w:rsid w:val="003F29B4"/>
    <w:rsid w:val="003F2E45"/>
    <w:rsid w:val="003F357B"/>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5A8C"/>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25CA"/>
    <w:rsid w:val="00473E74"/>
    <w:rsid w:val="00473FEF"/>
    <w:rsid w:val="00475673"/>
    <w:rsid w:val="00475B8E"/>
    <w:rsid w:val="0047745D"/>
    <w:rsid w:val="0048104E"/>
    <w:rsid w:val="004814BB"/>
    <w:rsid w:val="004815DA"/>
    <w:rsid w:val="00481EF2"/>
    <w:rsid w:val="00482458"/>
    <w:rsid w:val="004837ED"/>
    <w:rsid w:val="00483942"/>
    <w:rsid w:val="004843CE"/>
    <w:rsid w:val="00485142"/>
    <w:rsid w:val="004852A7"/>
    <w:rsid w:val="00486C17"/>
    <w:rsid w:val="00486DE2"/>
    <w:rsid w:val="00487117"/>
    <w:rsid w:val="00487245"/>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5F00"/>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ADB"/>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04"/>
    <w:rsid w:val="005441D4"/>
    <w:rsid w:val="005450C3"/>
    <w:rsid w:val="0054672D"/>
    <w:rsid w:val="00550F4E"/>
    <w:rsid w:val="005532B5"/>
    <w:rsid w:val="00554A05"/>
    <w:rsid w:val="00555849"/>
    <w:rsid w:val="005559A8"/>
    <w:rsid w:val="005563E9"/>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669F"/>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C73"/>
    <w:rsid w:val="005B5B3C"/>
    <w:rsid w:val="005B64CB"/>
    <w:rsid w:val="005B65C0"/>
    <w:rsid w:val="005B6AAA"/>
    <w:rsid w:val="005B7554"/>
    <w:rsid w:val="005B7C78"/>
    <w:rsid w:val="005B7FE0"/>
    <w:rsid w:val="005C0FB2"/>
    <w:rsid w:val="005C1169"/>
    <w:rsid w:val="005C16E2"/>
    <w:rsid w:val="005C24EF"/>
    <w:rsid w:val="005C2796"/>
    <w:rsid w:val="005C3C6C"/>
    <w:rsid w:val="005C3F4C"/>
    <w:rsid w:val="005C43AA"/>
    <w:rsid w:val="005C482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58F8"/>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0EB"/>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1FB"/>
    <w:rsid w:val="00655485"/>
    <w:rsid w:val="006558B3"/>
    <w:rsid w:val="00660B0D"/>
    <w:rsid w:val="00660BF0"/>
    <w:rsid w:val="0066189C"/>
    <w:rsid w:val="006618C6"/>
    <w:rsid w:val="006630CF"/>
    <w:rsid w:val="00663EFF"/>
    <w:rsid w:val="00666F74"/>
    <w:rsid w:val="00667FEA"/>
    <w:rsid w:val="006710D2"/>
    <w:rsid w:val="00671A8B"/>
    <w:rsid w:val="00671F53"/>
    <w:rsid w:val="006725A0"/>
    <w:rsid w:val="0067555E"/>
    <w:rsid w:val="00677995"/>
    <w:rsid w:val="00677FAD"/>
    <w:rsid w:val="006802DE"/>
    <w:rsid w:val="0068032D"/>
    <w:rsid w:val="0068068C"/>
    <w:rsid w:val="00680C50"/>
    <w:rsid w:val="00681115"/>
    <w:rsid w:val="00683920"/>
    <w:rsid w:val="00685147"/>
    <w:rsid w:val="00685653"/>
    <w:rsid w:val="0068590D"/>
    <w:rsid w:val="00685A89"/>
    <w:rsid w:val="006861B3"/>
    <w:rsid w:val="006865CB"/>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02F9"/>
    <w:rsid w:val="006B2450"/>
    <w:rsid w:val="006B2D40"/>
    <w:rsid w:val="006B34DF"/>
    <w:rsid w:val="006B3970"/>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6583"/>
    <w:rsid w:val="00700247"/>
    <w:rsid w:val="00700861"/>
    <w:rsid w:val="00701051"/>
    <w:rsid w:val="007014C0"/>
    <w:rsid w:val="007021C2"/>
    <w:rsid w:val="00702502"/>
    <w:rsid w:val="007033A8"/>
    <w:rsid w:val="0070421B"/>
    <w:rsid w:val="007043F0"/>
    <w:rsid w:val="0070482E"/>
    <w:rsid w:val="00704D25"/>
    <w:rsid w:val="00704EED"/>
    <w:rsid w:val="00706015"/>
    <w:rsid w:val="00710519"/>
    <w:rsid w:val="00710679"/>
    <w:rsid w:val="00710F6E"/>
    <w:rsid w:val="00711663"/>
    <w:rsid w:val="007116B4"/>
    <w:rsid w:val="00712580"/>
    <w:rsid w:val="007133E4"/>
    <w:rsid w:val="00713788"/>
    <w:rsid w:val="00713940"/>
    <w:rsid w:val="007151A2"/>
    <w:rsid w:val="00716774"/>
    <w:rsid w:val="0072025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B12"/>
    <w:rsid w:val="00743DE7"/>
    <w:rsid w:val="0074509E"/>
    <w:rsid w:val="00745B9F"/>
    <w:rsid w:val="00746DA2"/>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C57"/>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4FA1"/>
    <w:rsid w:val="00775937"/>
    <w:rsid w:val="00777046"/>
    <w:rsid w:val="007770DA"/>
    <w:rsid w:val="007805B9"/>
    <w:rsid w:val="00780C3A"/>
    <w:rsid w:val="007834A1"/>
    <w:rsid w:val="00791EB4"/>
    <w:rsid w:val="007928D4"/>
    <w:rsid w:val="007928F1"/>
    <w:rsid w:val="0079357D"/>
    <w:rsid w:val="007937CC"/>
    <w:rsid w:val="00793A31"/>
    <w:rsid w:val="00794979"/>
    <w:rsid w:val="007956B7"/>
    <w:rsid w:val="00795F1A"/>
    <w:rsid w:val="00796EDE"/>
    <w:rsid w:val="00797297"/>
    <w:rsid w:val="007974B3"/>
    <w:rsid w:val="00797875"/>
    <w:rsid w:val="007A0091"/>
    <w:rsid w:val="007A076C"/>
    <w:rsid w:val="007A17E8"/>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47C"/>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0923"/>
    <w:rsid w:val="007E1411"/>
    <w:rsid w:val="007E17A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777F8"/>
    <w:rsid w:val="00880224"/>
    <w:rsid w:val="00880EDF"/>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33CC"/>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277B"/>
    <w:rsid w:val="008E3054"/>
    <w:rsid w:val="008E32FF"/>
    <w:rsid w:val="008E5625"/>
    <w:rsid w:val="008E5C5B"/>
    <w:rsid w:val="008E6A37"/>
    <w:rsid w:val="008F0354"/>
    <w:rsid w:val="008F085A"/>
    <w:rsid w:val="008F1462"/>
    <w:rsid w:val="008F2413"/>
    <w:rsid w:val="008F248D"/>
    <w:rsid w:val="008F40E8"/>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4B7B"/>
    <w:rsid w:val="00915EBA"/>
    <w:rsid w:val="00917093"/>
    <w:rsid w:val="0092030E"/>
    <w:rsid w:val="009203D0"/>
    <w:rsid w:val="00920ECF"/>
    <w:rsid w:val="009217B1"/>
    <w:rsid w:val="00921A42"/>
    <w:rsid w:val="009223BB"/>
    <w:rsid w:val="00922491"/>
    <w:rsid w:val="00923BCF"/>
    <w:rsid w:val="009252EC"/>
    <w:rsid w:val="00925AEC"/>
    <w:rsid w:val="0092751A"/>
    <w:rsid w:val="009305C4"/>
    <w:rsid w:val="00931FAF"/>
    <w:rsid w:val="00934081"/>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D6F"/>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9D8"/>
    <w:rsid w:val="00987829"/>
    <w:rsid w:val="00990FB3"/>
    <w:rsid w:val="00991276"/>
    <w:rsid w:val="009923E7"/>
    <w:rsid w:val="00992697"/>
    <w:rsid w:val="00992D4E"/>
    <w:rsid w:val="00993D1B"/>
    <w:rsid w:val="00994621"/>
    <w:rsid w:val="009947FF"/>
    <w:rsid w:val="0099544B"/>
    <w:rsid w:val="00996770"/>
    <w:rsid w:val="0099779B"/>
    <w:rsid w:val="009A053D"/>
    <w:rsid w:val="009A07A6"/>
    <w:rsid w:val="009A0D56"/>
    <w:rsid w:val="009A3017"/>
    <w:rsid w:val="009A31B9"/>
    <w:rsid w:val="009A4D4F"/>
    <w:rsid w:val="009A53D8"/>
    <w:rsid w:val="009A597F"/>
    <w:rsid w:val="009A6B1C"/>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C7AFF"/>
    <w:rsid w:val="009D0219"/>
    <w:rsid w:val="009D0D55"/>
    <w:rsid w:val="009D2295"/>
    <w:rsid w:val="009D2511"/>
    <w:rsid w:val="009D291D"/>
    <w:rsid w:val="009D3E7C"/>
    <w:rsid w:val="009D55CA"/>
    <w:rsid w:val="009D5E6A"/>
    <w:rsid w:val="009D5EF0"/>
    <w:rsid w:val="009D6401"/>
    <w:rsid w:val="009E0711"/>
    <w:rsid w:val="009E1917"/>
    <w:rsid w:val="009E2FDB"/>
    <w:rsid w:val="009E3594"/>
    <w:rsid w:val="009E6B77"/>
    <w:rsid w:val="009E7724"/>
    <w:rsid w:val="009E7D1F"/>
    <w:rsid w:val="009F1D82"/>
    <w:rsid w:val="009F3636"/>
    <w:rsid w:val="009F37AA"/>
    <w:rsid w:val="009F544C"/>
    <w:rsid w:val="009F5731"/>
    <w:rsid w:val="009F6321"/>
    <w:rsid w:val="009F6378"/>
    <w:rsid w:val="009F7669"/>
    <w:rsid w:val="009F7CF0"/>
    <w:rsid w:val="009F7F45"/>
    <w:rsid w:val="009F7FD5"/>
    <w:rsid w:val="00A005D4"/>
    <w:rsid w:val="00A0083C"/>
    <w:rsid w:val="00A0135E"/>
    <w:rsid w:val="00A01A90"/>
    <w:rsid w:val="00A02370"/>
    <w:rsid w:val="00A04685"/>
    <w:rsid w:val="00A04C57"/>
    <w:rsid w:val="00A05C6C"/>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1703A"/>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0AD"/>
    <w:rsid w:val="00A37435"/>
    <w:rsid w:val="00A40DA9"/>
    <w:rsid w:val="00A4173D"/>
    <w:rsid w:val="00A41A95"/>
    <w:rsid w:val="00A4248B"/>
    <w:rsid w:val="00A4376E"/>
    <w:rsid w:val="00A44CF6"/>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D7"/>
    <w:rsid w:val="00A81CEB"/>
    <w:rsid w:val="00A824A7"/>
    <w:rsid w:val="00A8263B"/>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597"/>
    <w:rsid w:val="00AA5F4C"/>
    <w:rsid w:val="00AA615C"/>
    <w:rsid w:val="00AA6711"/>
    <w:rsid w:val="00AB2AEC"/>
    <w:rsid w:val="00AB2DC1"/>
    <w:rsid w:val="00AB3102"/>
    <w:rsid w:val="00AB3D9A"/>
    <w:rsid w:val="00AB4B1D"/>
    <w:rsid w:val="00AB6B5E"/>
    <w:rsid w:val="00AC047F"/>
    <w:rsid w:val="00AC3934"/>
    <w:rsid w:val="00AC43F6"/>
    <w:rsid w:val="00AC50C8"/>
    <w:rsid w:val="00AC5581"/>
    <w:rsid w:val="00AC56AD"/>
    <w:rsid w:val="00AC61BD"/>
    <w:rsid w:val="00AC61BE"/>
    <w:rsid w:val="00AD0CB4"/>
    <w:rsid w:val="00AD11E9"/>
    <w:rsid w:val="00AD1FF2"/>
    <w:rsid w:val="00AD2A21"/>
    <w:rsid w:val="00AD3B43"/>
    <w:rsid w:val="00AD49CB"/>
    <w:rsid w:val="00AD4FF2"/>
    <w:rsid w:val="00AD506C"/>
    <w:rsid w:val="00AD6BE5"/>
    <w:rsid w:val="00AD7675"/>
    <w:rsid w:val="00AD783E"/>
    <w:rsid w:val="00AE1393"/>
    <w:rsid w:val="00AE3BC6"/>
    <w:rsid w:val="00AE3E2F"/>
    <w:rsid w:val="00AE4D4F"/>
    <w:rsid w:val="00AE588E"/>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0A7"/>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4E54"/>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C1F"/>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41E"/>
    <w:rsid w:val="00BB6907"/>
    <w:rsid w:val="00BB7A20"/>
    <w:rsid w:val="00BC15B1"/>
    <w:rsid w:val="00BC16E9"/>
    <w:rsid w:val="00BC3C06"/>
    <w:rsid w:val="00BC4C53"/>
    <w:rsid w:val="00BC4E8B"/>
    <w:rsid w:val="00BC5622"/>
    <w:rsid w:val="00BC6060"/>
    <w:rsid w:val="00BC6596"/>
    <w:rsid w:val="00BC6D8D"/>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4618"/>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361"/>
    <w:rsid w:val="00C17750"/>
    <w:rsid w:val="00C2094B"/>
    <w:rsid w:val="00C20DC5"/>
    <w:rsid w:val="00C2294E"/>
    <w:rsid w:val="00C22A5B"/>
    <w:rsid w:val="00C23412"/>
    <w:rsid w:val="00C264C7"/>
    <w:rsid w:val="00C267C0"/>
    <w:rsid w:val="00C271C4"/>
    <w:rsid w:val="00C274F3"/>
    <w:rsid w:val="00C27824"/>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3EF"/>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67B22"/>
    <w:rsid w:val="00C729C7"/>
    <w:rsid w:val="00C761FA"/>
    <w:rsid w:val="00C777AD"/>
    <w:rsid w:val="00C80C53"/>
    <w:rsid w:val="00C81195"/>
    <w:rsid w:val="00C85387"/>
    <w:rsid w:val="00C85719"/>
    <w:rsid w:val="00C85E52"/>
    <w:rsid w:val="00C86471"/>
    <w:rsid w:val="00C8677B"/>
    <w:rsid w:val="00C86F96"/>
    <w:rsid w:val="00C909C6"/>
    <w:rsid w:val="00C923B7"/>
    <w:rsid w:val="00C94D4C"/>
    <w:rsid w:val="00C974EC"/>
    <w:rsid w:val="00CA012C"/>
    <w:rsid w:val="00CA0AA6"/>
    <w:rsid w:val="00CA2897"/>
    <w:rsid w:val="00CA44F3"/>
    <w:rsid w:val="00CA4BFA"/>
    <w:rsid w:val="00CA51BA"/>
    <w:rsid w:val="00CA582C"/>
    <w:rsid w:val="00CA6077"/>
    <w:rsid w:val="00CA715B"/>
    <w:rsid w:val="00CA74B0"/>
    <w:rsid w:val="00CA7988"/>
    <w:rsid w:val="00CA7BA2"/>
    <w:rsid w:val="00CB0B78"/>
    <w:rsid w:val="00CB1127"/>
    <w:rsid w:val="00CB12A5"/>
    <w:rsid w:val="00CB17FA"/>
    <w:rsid w:val="00CB23D8"/>
    <w:rsid w:val="00CB2ED9"/>
    <w:rsid w:val="00CB36A5"/>
    <w:rsid w:val="00CB56B4"/>
    <w:rsid w:val="00CB7286"/>
    <w:rsid w:val="00CB7947"/>
    <w:rsid w:val="00CC0E9D"/>
    <w:rsid w:val="00CC1472"/>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31E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446E"/>
    <w:rsid w:val="00D25AC4"/>
    <w:rsid w:val="00D305F6"/>
    <w:rsid w:val="00D30B25"/>
    <w:rsid w:val="00D30FFB"/>
    <w:rsid w:val="00D3175A"/>
    <w:rsid w:val="00D31A00"/>
    <w:rsid w:val="00D31B1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5C1"/>
    <w:rsid w:val="00D52875"/>
    <w:rsid w:val="00D54050"/>
    <w:rsid w:val="00D56321"/>
    <w:rsid w:val="00D56AC0"/>
    <w:rsid w:val="00D6081B"/>
    <w:rsid w:val="00D61A37"/>
    <w:rsid w:val="00D6240A"/>
    <w:rsid w:val="00D63093"/>
    <w:rsid w:val="00D63599"/>
    <w:rsid w:val="00D63EBD"/>
    <w:rsid w:val="00D64B69"/>
    <w:rsid w:val="00D65678"/>
    <w:rsid w:val="00D67101"/>
    <w:rsid w:val="00D7106D"/>
    <w:rsid w:val="00D71B45"/>
    <w:rsid w:val="00D71F8A"/>
    <w:rsid w:val="00D75603"/>
    <w:rsid w:val="00D75FEE"/>
    <w:rsid w:val="00D76933"/>
    <w:rsid w:val="00D76D88"/>
    <w:rsid w:val="00D77CC9"/>
    <w:rsid w:val="00D83D4B"/>
    <w:rsid w:val="00D84629"/>
    <w:rsid w:val="00D871C6"/>
    <w:rsid w:val="00D90E1A"/>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A46"/>
    <w:rsid w:val="00DC4D68"/>
    <w:rsid w:val="00DC6463"/>
    <w:rsid w:val="00DC7822"/>
    <w:rsid w:val="00DC7AF1"/>
    <w:rsid w:val="00DD2D92"/>
    <w:rsid w:val="00DD3026"/>
    <w:rsid w:val="00DD33DC"/>
    <w:rsid w:val="00DD3BB0"/>
    <w:rsid w:val="00DD61F5"/>
    <w:rsid w:val="00DE3223"/>
    <w:rsid w:val="00DE3F8E"/>
    <w:rsid w:val="00DE64A6"/>
    <w:rsid w:val="00DE66EB"/>
    <w:rsid w:val="00DE7035"/>
    <w:rsid w:val="00DF12E3"/>
    <w:rsid w:val="00DF1C4F"/>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734"/>
    <w:rsid w:val="00E3687E"/>
    <w:rsid w:val="00E372DD"/>
    <w:rsid w:val="00E40974"/>
    <w:rsid w:val="00E40A5C"/>
    <w:rsid w:val="00E40AAB"/>
    <w:rsid w:val="00E41205"/>
    <w:rsid w:val="00E41F32"/>
    <w:rsid w:val="00E42608"/>
    <w:rsid w:val="00E43536"/>
    <w:rsid w:val="00E43DA3"/>
    <w:rsid w:val="00E44B80"/>
    <w:rsid w:val="00E45F66"/>
    <w:rsid w:val="00E47430"/>
    <w:rsid w:val="00E50FB7"/>
    <w:rsid w:val="00E5199F"/>
    <w:rsid w:val="00E526DF"/>
    <w:rsid w:val="00E53624"/>
    <w:rsid w:val="00E53C15"/>
    <w:rsid w:val="00E54C5D"/>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0804"/>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9D"/>
    <w:rsid w:val="00EA57E2"/>
    <w:rsid w:val="00EA62A1"/>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0BB4"/>
    <w:rsid w:val="00ED19D7"/>
    <w:rsid w:val="00ED2167"/>
    <w:rsid w:val="00ED351E"/>
    <w:rsid w:val="00ED4063"/>
    <w:rsid w:val="00ED4B27"/>
    <w:rsid w:val="00ED543C"/>
    <w:rsid w:val="00ED6BA4"/>
    <w:rsid w:val="00ED7DA7"/>
    <w:rsid w:val="00EE0598"/>
    <w:rsid w:val="00EE311C"/>
    <w:rsid w:val="00EE384E"/>
    <w:rsid w:val="00EE45AE"/>
    <w:rsid w:val="00EE56FF"/>
    <w:rsid w:val="00EE5886"/>
    <w:rsid w:val="00EE5CE7"/>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110"/>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D05"/>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5BAB"/>
    <w:rsid w:val="00FC7223"/>
    <w:rsid w:val="00FD0F60"/>
    <w:rsid w:val="00FD13EA"/>
    <w:rsid w:val="00FD232F"/>
    <w:rsid w:val="00FD5EC4"/>
    <w:rsid w:val="00FD7169"/>
    <w:rsid w:val="00FD7858"/>
    <w:rsid w:val="00FD7A8D"/>
    <w:rsid w:val="00FE1330"/>
    <w:rsid w:val="00FE1CE5"/>
    <w:rsid w:val="00FE2832"/>
    <w:rsid w:val="00FE2D38"/>
    <w:rsid w:val="00FE352C"/>
    <w:rsid w:val="00FE3929"/>
    <w:rsid w:val="00FE41D2"/>
    <w:rsid w:val="00FF097B"/>
    <w:rsid w:val="00FF0B6E"/>
    <w:rsid w:val="00FF1AE4"/>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4669479-789A-4F70-9361-33CEEA4DED87}">
  <ds:schemaRefs>
    <ds:schemaRef ds:uri="http://schemas.openxmlformats.org/officeDocument/2006/bibliography"/>
  </ds:schemaRefs>
</ds:datastoreItem>
</file>

<file path=customXml/itemProps6.xml><?xml version="1.0" encoding="utf-8"?>
<ds:datastoreItem xmlns:ds="http://schemas.openxmlformats.org/officeDocument/2006/customXml" ds:itemID="{E411BCF9-6234-4EC9-861E-795A2A7D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5338</Words>
  <Characters>28802</Characters>
  <Application>Microsoft Office Word</Application>
  <DocSecurity>8</DocSecurity>
  <Lines>240</Lines>
  <Paragraphs>68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34072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Mikkel Bates</cp:lastModifiedBy>
  <cp:revision>2</cp:revision>
  <cp:lastPrinted>2015-02-18T11:01:00Z</cp:lastPrinted>
  <dcterms:created xsi:type="dcterms:W3CDTF">2019-12-13T10:33:00Z</dcterms:created>
  <dcterms:modified xsi:type="dcterms:W3CDTF">2019-12-13T10:33:00Z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