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Accentuationlgre"/>
          <w:b w:val="0"/>
          <w:sz w:val="22"/>
        </w:rPr>
      </w:pPr>
      <w:r w:rsidRPr="00197794">
        <w:rPr>
          <w:rStyle w:val="Accentuationlgre"/>
          <w:b w:val="0"/>
          <w:sz w:val="22"/>
        </w:rPr>
        <w:t>The European Supervisory Authorities (ESAs) welcome comments on this consultation paper setting out proposed amendments to Commission Delegated Regulation (EU) 2017/653 of 8 March 2017</w:t>
      </w:r>
      <w:r w:rsidRPr="00197794">
        <w:rPr>
          <w:rStyle w:val="Accentuationlgre"/>
          <w:b w:val="0"/>
          <w:sz w:val="22"/>
        </w:rPr>
        <w:footnoteReference w:id="2"/>
      </w:r>
      <w:r w:rsidRPr="00197794">
        <w:rPr>
          <w:rStyle w:val="Accentuationlgre"/>
          <w:b w:val="0"/>
          <w:sz w:val="22"/>
        </w:rPr>
        <w:t xml:space="preserve"> (hereinafter “PRIIPs Delegated Regulation”).</w:t>
      </w:r>
    </w:p>
    <w:p w14:paraId="10C2617A" w14:textId="77777777" w:rsidR="00197794" w:rsidRPr="00197794" w:rsidRDefault="00197794" w:rsidP="00197794">
      <w:pPr>
        <w:jc w:val="both"/>
        <w:rPr>
          <w:rStyle w:val="Accentuationlgre"/>
          <w:b w:val="0"/>
          <w:sz w:val="22"/>
        </w:rPr>
      </w:pPr>
    </w:p>
    <w:p w14:paraId="0C223EDE" w14:textId="77777777" w:rsidR="00197794" w:rsidRPr="00197794" w:rsidRDefault="00197794" w:rsidP="00197794">
      <w:pPr>
        <w:jc w:val="both"/>
        <w:rPr>
          <w:rStyle w:val="Accentuationlgre"/>
          <w:b w:val="0"/>
          <w:sz w:val="22"/>
        </w:rPr>
      </w:pPr>
      <w:r w:rsidRPr="00197794">
        <w:rPr>
          <w:rStyle w:val="Accentuationlgre"/>
          <w:b w:val="0"/>
          <w:sz w:val="22"/>
        </w:rPr>
        <w:t xml:space="preserve">The consultation package includes: </w:t>
      </w:r>
    </w:p>
    <w:p w14:paraId="18D2914F" w14:textId="1F1755EE" w:rsid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The consultation paper</w:t>
      </w:r>
    </w:p>
    <w:p w14:paraId="10BDD12A" w14:textId="706C2321" w:rsid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r>
      <w:r>
        <w:rPr>
          <w:rStyle w:val="Accentuationlgre"/>
          <w:b w:val="0"/>
          <w:sz w:val="22"/>
        </w:rPr>
        <w:t>Template for comments</w:t>
      </w:r>
    </w:p>
    <w:p w14:paraId="52DEC790" w14:textId="77777777" w:rsidR="00197794" w:rsidRDefault="00197794" w:rsidP="00197794">
      <w:pPr>
        <w:jc w:val="both"/>
        <w:rPr>
          <w:rStyle w:val="Accentuationlgre"/>
          <w:b w:val="0"/>
          <w:sz w:val="22"/>
        </w:rPr>
      </w:pPr>
    </w:p>
    <w:p w14:paraId="0582E623" w14:textId="7F8CAD3C" w:rsidR="00197794" w:rsidRPr="00197794" w:rsidRDefault="00197794" w:rsidP="00197794">
      <w:pPr>
        <w:jc w:val="both"/>
        <w:rPr>
          <w:rStyle w:val="Accentuationlgre"/>
          <w:b w:val="0"/>
          <w:sz w:val="22"/>
        </w:rPr>
      </w:pPr>
      <w:r w:rsidRPr="00197794">
        <w:rPr>
          <w:rStyle w:val="Accentuationlgre"/>
          <w:b w:val="0"/>
          <w:sz w:val="22"/>
        </w:rPr>
        <w:t>The ESAs invite comments on any aspect of this paper. Comments are most helpful if they:</w:t>
      </w:r>
    </w:p>
    <w:p w14:paraId="09C3854A" w14:textId="77777777" w:rsidR="00197794" w:rsidRP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contain a clear rationale; and</w:t>
      </w:r>
    </w:p>
    <w:p w14:paraId="2CDD20AE" w14:textId="77777777" w:rsidR="00197794" w:rsidRP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describe any alternatives the ESAs should consider.</w:t>
      </w:r>
    </w:p>
    <w:p w14:paraId="6D344FFC" w14:textId="77777777" w:rsidR="00197794" w:rsidRDefault="00197794" w:rsidP="00197794">
      <w:pPr>
        <w:jc w:val="both"/>
        <w:rPr>
          <w:rStyle w:val="Accentuationlgre"/>
          <w:b w:val="0"/>
          <w:sz w:val="22"/>
        </w:rPr>
      </w:pPr>
    </w:p>
    <w:p w14:paraId="17CD5259" w14:textId="6C7A8583" w:rsidR="00197794" w:rsidRPr="00197794" w:rsidRDefault="00197794" w:rsidP="00197794">
      <w:pPr>
        <w:spacing w:after="240"/>
        <w:jc w:val="both"/>
        <w:rPr>
          <w:rStyle w:val="Accentuationlgre"/>
          <w:b w:val="0"/>
          <w:sz w:val="22"/>
        </w:rPr>
      </w:pPr>
      <w:r w:rsidRPr="00197794">
        <w:rPr>
          <w:rStyle w:val="Accentuationlgre"/>
          <w:b w:val="0"/>
          <w:sz w:val="22"/>
        </w:rPr>
        <w:t xml:space="preserve">When describing alternative approaches the ESAs encourage stakeholders to consider how </w:t>
      </w:r>
      <w:r w:rsidR="004B1D0D">
        <w:rPr>
          <w:rStyle w:val="Accentuationlgre"/>
          <w:b w:val="0"/>
          <w:sz w:val="22"/>
        </w:rPr>
        <w:t xml:space="preserve">the </w:t>
      </w:r>
      <w:r w:rsidRPr="00197794">
        <w:rPr>
          <w:rStyle w:val="Accentuationlgre"/>
          <w:b w:val="0"/>
          <w:sz w:val="22"/>
        </w:rPr>
        <w:t>approach would achieve the aims of Regulation (EU) No 1286/2014</w:t>
      </w:r>
      <w:r w:rsidRPr="00197794">
        <w:rPr>
          <w:rStyle w:val="Accentuationlgre"/>
          <w:b w:val="0"/>
          <w:sz w:val="22"/>
        </w:rPr>
        <w:footnoteReference w:id="3"/>
      </w:r>
      <w:r w:rsidRPr="00197794">
        <w:rPr>
          <w:rStyle w:val="Accentuationlgre"/>
          <w:b w:val="0"/>
          <w:sz w:val="22"/>
        </w:rPr>
        <w:t xml:space="preserve"> (hereinafter “PRIIPs Regulation”). </w:t>
      </w:r>
    </w:p>
    <w:p w14:paraId="62803BA4" w14:textId="77777777" w:rsidR="00EC1154" w:rsidRDefault="00EC1154" w:rsidP="00AF38AF">
      <w:pPr>
        <w:rPr>
          <w:rStyle w:val="Accentuationlgre"/>
          <w:b w:val="0"/>
          <w:sz w:val="22"/>
        </w:rPr>
      </w:pPr>
    </w:p>
    <w:p w14:paraId="6A3CB03F" w14:textId="77777777" w:rsidR="009A3017" w:rsidRPr="00E40A5C" w:rsidRDefault="009A3017" w:rsidP="009A3017">
      <w:pPr>
        <w:spacing w:after="120"/>
        <w:jc w:val="both"/>
        <w:rPr>
          <w:rStyle w:val="Accentuationlgre"/>
          <w:sz w:val="22"/>
        </w:rPr>
      </w:pPr>
      <w:r w:rsidRPr="00E40A5C">
        <w:rPr>
          <w:rStyle w:val="Accentuationlgre"/>
          <w:sz w:val="22"/>
        </w:rPr>
        <w:t>Instructions</w:t>
      </w:r>
    </w:p>
    <w:p w14:paraId="6A3CB040" w14:textId="77777777" w:rsidR="009A3017" w:rsidRPr="00E40A5C" w:rsidRDefault="009A3017" w:rsidP="009A3017">
      <w:pPr>
        <w:spacing w:after="240"/>
        <w:jc w:val="both"/>
        <w:rPr>
          <w:rStyle w:val="Accentuationlgre"/>
          <w:b w:val="0"/>
          <w:sz w:val="22"/>
        </w:rPr>
      </w:pPr>
      <w:r w:rsidRPr="00E40A5C">
        <w:rPr>
          <w:rStyle w:val="Accentuationlgr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 xml:space="preserve">Insert your responses to the questions in the Consultation Paper in </w:t>
      </w:r>
      <w:r w:rsidR="00963D60">
        <w:rPr>
          <w:rStyle w:val="Accentuationlgre"/>
          <w:b w:val="0"/>
          <w:sz w:val="22"/>
        </w:rPr>
        <w:t>the present</w:t>
      </w:r>
      <w:r w:rsidR="00963D60" w:rsidRPr="00E40A5C">
        <w:rPr>
          <w:rStyle w:val="Accentuationlgre"/>
          <w:b w:val="0"/>
          <w:sz w:val="22"/>
        </w:rPr>
        <w:t xml:space="preserve"> </w:t>
      </w:r>
      <w:r w:rsidR="00315895">
        <w:rPr>
          <w:rStyle w:val="Accentuationlgre"/>
          <w:b w:val="0"/>
          <w:sz w:val="22"/>
        </w:rPr>
        <w:t xml:space="preserve">response </w:t>
      </w:r>
      <w:r w:rsidRPr="00E40A5C">
        <w:rPr>
          <w:rStyle w:val="Accentuationlgre"/>
          <w:b w:val="0"/>
          <w:sz w:val="22"/>
        </w:rPr>
        <w:t>form</w:t>
      </w:r>
      <w:r w:rsidR="00963D60">
        <w:rPr>
          <w:rStyle w:val="Accentuationlgre"/>
          <w:b w:val="0"/>
          <w:sz w:val="22"/>
        </w:rPr>
        <w:t>.</w:t>
      </w:r>
      <w:r w:rsidRPr="00E40A5C">
        <w:rPr>
          <w:rStyle w:val="Accentuationlgre"/>
          <w:b w:val="0"/>
          <w:sz w:val="22"/>
        </w:rPr>
        <w:t xml:space="preserve"> </w:t>
      </w:r>
    </w:p>
    <w:p w14:paraId="6A3CB042" w14:textId="71534174"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Please do not remove tags of the type &lt;ESA_QUESTION_</w:t>
      </w:r>
      <w:r w:rsidR="00197794">
        <w:rPr>
          <w:rStyle w:val="Accentuationlgre"/>
          <w:b w:val="0"/>
          <w:sz w:val="22"/>
        </w:rPr>
        <w:t>PKID</w:t>
      </w:r>
      <w:r w:rsidRPr="00E40A5C">
        <w:rPr>
          <w:rStyle w:val="Accentuationlgre"/>
          <w:b w:val="0"/>
          <w:sz w:val="22"/>
        </w:rPr>
        <w:t>_1&gt;. Your response to each question has to be framed by the two tags corresponding to the question.</w:t>
      </w:r>
    </w:p>
    <w:p w14:paraId="6A3CB043"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When you have drafted your response, name your response form according to the following convention: ESA_</w:t>
      </w:r>
      <w:r w:rsidR="00197794">
        <w:rPr>
          <w:rStyle w:val="Accentuationlgre"/>
          <w:b w:val="0"/>
          <w:sz w:val="22"/>
        </w:rPr>
        <w:t>PKID</w:t>
      </w:r>
      <w:r w:rsidRPr="00E40A5C">
        <w:rPr>
          <w:rStyle w:val="Accentuationlgre"/>
          <w:b w:val="0"/>
          <w:sz w:val="22"/>
        </w:rPr>
        <w:t>_nameofrespondent_RESPONSEFORM. For example, for a respondent named ABCD, the response form would be entitled ESA_</w:t>
      </w:r>
      <w:r w:rsidR="00197794">
        <w:rPr>
          <w:rStyle w:val="Accentuationlgre"/>
          <w:b w:val="0"/>
          <w:sz w:val="22"/>
        </w:rPr>
        <w:t>PKID</w:t>
      </w:r>
      <w:r w:rsidRPr="00E40A5C">
        <w:rPr>
          <w:rStyle w:val="Accentuationlgre"/>
          <w:b w:val="0"/>
          <w:sz w:val="22"/>
        </w:rPr>
        <w:t>_ABCD_RESPONSEFORM.</w:t>
      </w:r>
    </w:p>
    <w:p w14:paraId="180C2205" w14:textId="7763E035" w:rsidR="00197794" w:rsidRP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t>The consultation paper is available on the websites of the three ESAs</w:t>
      </w:r>
      <w:r w:rsidR="00764042">
        <w:rPr>
          <w:rStyle w:val="Accentuationlgre"/>
          <w:b w:val="0"/>
          <w:sz w:val="22"/>
        </w:rPr>
        <w:t xml:space="preserve"> and the Joint Committee</w:t>
      </w:r>
      <w:r w:rsidRPr="00197794">
        <w:rPr>
          <w:rStyle w:val="Accentuationlgre"/>
          <w:b w:val="0"/>
          <w:sz w:val="22"/>
        </w:rPr>
        <w:t xml:space="preserve">. Comments on this consultation paper can be sent using the response form, via the </w:t>
      </w:r>
      <w:hyperlink r:id="rId19" w:history="1">
        <w:r w:rsidRPr="00197794">
          <w:rPr>
            <w:rStyle w:val="Lienhypertexte"/>
            <w:rFonts w:cs="Arial"/>
            <w:sz w:val="22"/>
          </w:rPr>
          <w:t>ESMA website</w:t>
        </w:r>
      </w:hyperlink>
      <w:r w:rsidRPr="00197794">
        <w:rPr>
          <w:rStyle w:val="Accentuationlgre"/>
          <w:b w:val="0"/>
          <w:sz w:val="24"/>
        </w:rPr>
        <w:t xml:space="preserve"> </w:t>
      </w:r>
      <w:r w:rsidRPr="00197794">
        <w:rPr>
          <w:rStyle w:val="Accentuationlgre"/>
          <w:b w:val="0"/>
          <w:sz w:val="22"/>
        </w:rPr>
        <w:t xml:space="preserve">under the heading ‘Your input - Consultations’ by </w:t>
      </w:r>
      <w:r w:rsidRPr="00197794">
        <w:rPr>
          <w:rStyle w:val="Accentuationlgre"/>
          <w:sz w:val="22"/>
        </w:rPr>
        <w:t>13 January 2020</w:t>
      </w:r>
      <w:r w:rsidRPr="00197794">
        <w:rPr>
          <w:rStyle w:val="Accentuationlgre"/>
          <w:b w:val="0"/>
          <w:sz w:val="22"/>
        </w:rPr>
        <w:t>.</w:t>
      </w:r>
    </w:p>
    <w:p w14:paraId="2481E1E6" w14:textId="67CDDA3F" w:rsid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Accentuationlgre"/>
          <w:b w:val="0"/>
          <w:sz w:val="22"/>
        </w:rPr>
      </w:pPr>
    </w:p>
    <w:p w14:paraId="6A3CB046" w14:textId="77777777" w:rsidR="00210E59" w:rsidRPr="00210E59" w:rsidRDefault="00210E59" w:rsidP="00210E59">
      <w:pPr>
        <w:spacing w:after="120"/>
        <w:jc w:val="both"/>
        <w:rPr>
          <w:rStyle w:val="Accentuationlgre"/>
          <w:sz w:val="22"/>
        </w:rPr>
      </w:pPr>
      <w:r w:rsidRPr="00210E59">
        <w:rPr>
          <w:rStyle w:val="Accentuationlgre"/>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Accentuationlgre"/>
          <w:sz w:val="22"/>
          <w:lang w:eastAsia="en-GB"/>
        </w:rPr>
      </w:pPr>
    </w:p>
    <w:p w14:paraId="3561D6A6" w14:textId="77777777" w:rsidR="00197794" w:rsidRDefault="00197794" w:rsidP="004E6AE4">
      <w:pPr>
        <w:rPr>
          <w:rStyle w:val="Accentuationlgre"/>
          <w:sz w:val="22"/>
          <w:lang w:eastAsia="en-GB"/>
        </w:rPr>
      </w:pPr>
    </w:p>
    <w:p w14:paraId="6A3CB048" w14:textId="1D432EA9" w:rsidR="009A3017" w:rsidRPr="00E40A5C" w:rsidRDefault="009A3017" w:rsidP="004E6AE4">
      <w:pPr>
        <w:rPr>
          <w:rStyle w:val="Accentuationlgre"/>
          <w:sz w:val="22"/>
          <w:lang w:eastAsia="en-GB"/>
        </w:rPr>
      </w:pPr>
      <w:r w:rsidRPr="00E40A5C">
        <w:rPr>
          <w:rStyle w:val="Accentuationlgre"/>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Appelnotedebasdep"/>
          <w:rFonts w:cs="Arial"/>
          <w:sz w:val="22"/>
        </w:rPr>
        <w:footnoteReference w:id="4"/>
      </w:r>
      <w:r w:rsidRPr="00197794">
        <w:rPr>
          <w:rFonts w:cs="Arial"/>
          <w:sz w:val="22"/>
        </w:rPr>
        <w:t xml:space="preserve">. Further information on data protection can be found under the </w:t>
      </w:r>
      <w:hyperlink r:id="rId20" w:history="1">
        <w:r w:rsidRPr="00197794">
          <w:rPr>
            <w:rStyle w:val="Lienhypertexte"/>
            <w:rFonts w:cs="Arial"/>
            <w:sz w:val="22"/>
          </w:rPr>
          <w:t>Legal notice</w:t>
        </w:r>
      </w:hyperlink>
      <w:r w:rsidRPr="00197794">
        <w:rPr>
          <w:rFonts w:cs="Arial"/>
          <w:sz w:val="22"/>
        </w:rPr>
        <w:t xml:space="preserve"> section of the EBA website and under the </w:t>
      </w:r>
      <w:hyperlink r:id="rId21" w:history="1">
        <w:r w:rsidRPr="00197794">
          <w:rPr>
            <w:rStyle w:val="Lienhypertexte"/>
            <w:rFonts w:cs="Arial"/>
            <w:sz w:val="22"/>
          </w:rPr>
          <w:t>Legal notice</w:t>
        </w:r>
      </w:hyperlink>
      <w:r w:rsidRPr="00197794">
        <w:rPr>
          <w:rFonts w:cs="Arial"/>
          <w:sz w:val="22"/>
        </w:rPr>
        <w:t xml:space="preserve"> section of the EIOPA website and under the </w:t>
      </w:r>
      <w:hyperlink r:id="rId22" w:history="1">
        <w:r w:rsidRPr="00197794">
          <w:rPr>
            <w:rStyle w:val="Lienhypertext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Accentuationlgre"/>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color w:val="000000" w:themeColor="text1"/>
            </w:rPr>
            <w:id w:val="-1905066999"/>
            <w:text/>
          </w:sdtPr>
          <w:sdtEndPr>
            <w:rPr>
              <w:rStyle w:val="Textedelespacerserv"/>
            </w:rPr>
          </w:sdtEndPr>
          <w:sdtContent>
            <w:tc>
              <w:tcPr>
                <w:tcW w:w="5595" w:type="dxa"/>
                <w:shd w:val="clear" w:color="auto" w:fill="auto"/>
              </w:tcPr>
              <w:p w14:paraId="6A3CB051" w14:textId="3463DDDC" w:rsidR="00B327E9" w:rsidRPr="00AB6D88" w:rsidRDefault="00E43AB4" w:rsidP="00F136AD">
                <w:pPr>
                  <w:rPr>
                    <w:rStyle w:val="Textedelespacerserv"/>
                    <w:rFonts w:cs="Arial"/>
                  </w:rPr>
                </w:pPr>
                <w:r w:rsidRPr="00CB5C8C">
                  <w:rPr>
                    <w:rStyle w:val="Textedelespacerserv"/>
                    <w:rFonts w:cs="Arial"/>
                    <w:color w:val="000000" w:themeColor="text1"/>
                  </w:rPr>
                  <w:t>FINANCIAL PLANNING STANDARDS BOARD (FPSB) EUROPE</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38B7728" w:rsidR="00B327E9" w:rsidRPr="00AB6D88" w:rsidRDefault="00963C24"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43AB4">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tc>
          <w:tcPr>
            <w:tcW w:w="5595" w:type="dxa"/>
            <w:shd w:val="clear" w:color="auto" w:fill="auto"/>
          </w:tcPr>
          <w:p w14:paraId="6A3CB057" w14:textId="62EDCA8C" w:rsidR="00B327E9" w:rsidRPr="001B582B" w:rsidRDefault="00E43AB4" w:rsidP="00F136AD">
            <w:pPr>
              <w:rPr>
                <w:rFonts w:cs="Arial"/>
              </w:rPr>
            </w:pPr>
            <w:r w:rsidRPr="001B582B">
              <w:rPr>
                <w:rFonts w:eastAsia="MS Gothic" w:cs="Arial"/>
              </w:rPr>
              <w:t>EUROPEAN AFFILIATES OF FPSB</w:t>
            </w:r>
          </w:p>
        </w:tc>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0E8638A6" w:rsidR="00B327E9" w:rsidRPr="00AB6D88" w:rsidRDefault="00E43AB4"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Accentuationintense"/>
          <w:sz w:val="22"/>
        </w:rPr>
      </w:pPr>
      <w:r w:rsidRPr="00E40A5C">
        <w:rPr>
          <w:rStyle w:val="Accentuationintense"/>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Accentuationlgre"/>
          <w:b w:val="0"/>
          <w:sz w:val="22"/>
        </w:rPr>
        <w:t>PKID</w:t>
      </w:r>
      <w:r w:rsidRPr="006F4535">
        <w:t>_1&gt;</w:t>
      </w:r>
    </w:p>
    <w:p w14:paraId="347F72B6" w14:textId="2A121206" w:rsidR="001B582B" w:rsidRPr="00CB5C8C" w:rsidRDefault="001B582B" w:rsidP="001B582B">
      <w:pPr>
        <w:rPr>
          <w:rFonts w:asciiTheme="minorHAnsi" w:hAnsiTheme="minorHAnsi" w:cstheme="minorHAnsi"/>
          <w:color w:val="943634" w:themeColor="accent2" w:themeShade="BF"/>
          <w:sz w:val="22"/>
          <w:szCs w:val="22"/>
        </w:rPr>
      </w:pPr>
      <w:permStart w:id="411981036" w:edGrp="everyone"/>
      <w:r w:rsidRPr="00CB5C8C">
        <w:rPr>
          <w:rFonts w:asciiTheme="minorHAnsi" w:hAnsiTheme="minorHAnsi" w:cstheme="minorHAnsi"/>
          <w:color w:val="943634" w:themeColor="accent2" w:themeShade="BF"/>
          <w:sz w:val="22"/>
          <w:szCs w:val="22"/>
        </w:rPr>
        <w:t xml:space="preserve">Financial Planning Standards Board Ltd.’s (FPSB) European affiliate organizations (collectively, FPSB Europe) are pleased to provide comments on the European Advisory Authorities’ (ESAs) </w:t>
      </w:r>
      <w:hyperlink r:id="rId23" w:history="1">
        <w:r w:rsidRPr="00CB5C8C">
          <w:rPr>
            <w:rStyle w:val="Lienhypertexte"/>
            <w:rFonts w:asciiTheme="minorHAnsi" w:hAnsiTheme="minorHAnsi" w:cstheme="minorHAnsi"/>
            <w:i/>
            <w:iCs/>
            <w:color w:val="943634" w:themeColor="accent2" w:themeShade="BF"/>
            <w:sz w:val="22"/>
            <w:szCs w:val="22"/>
          </w:rPr>
          <w:t>Joint Consultation Paper Concerning Amendments to the PRIIPs KID</w:t>
        </w:r>
      </w:hyperlink>
      <w:r w:rsidRPr="00CB5C8C">
        <w:rPr>
          <w:rFonts w:asciiTheme="minorHAnsi" w:hAnsiTheme="minorHAnsi" w:cstheme="minorHAnsi"/>
          <w:color w:val="943634" w:themeColor="accent2" w:themeShade="BF"/>
          <w:sz w:val="22"/>
          <w:szCs w:val="22"/>
        </w:rPr>
        <w:t xml:space="preserve">. FPSB Europe consists of eight </w:t>
      </w:r>
      <w:r w:rsidR="002E4924" w:rsidRPr="00CB5C8C">
        <w:rPr>
          <w:rFonts w:asciiTheme="minorHAnsi" w:hAnsiTheme="minorHAnsi" w:cstheme="minorHAnsi"/>
          <w:color w:val="943634" w:themeColor="accent2" w:themeShade="BF"/>
          <w:sz w:val="22"/>
          <w:szCs w:val="22"/>
        </w:rPr>
        <w:t>non-profit</w:t>
      </w:r>
      <w:r w:rsidRPr="00CB5C8C">
        <w:rPr>
          <w:rFonts w:asciiTheme="minorHAnsi" w:hAnsiTheme="minorHAnsi" w:cstheme="minorHAnsi"/>
          <w:color w:val="943634" w:themeColor="accent2" w:themeShade="BF"/>
          <w:sz w:val="22"/>
          <w:szCs w:val="22"/>
        </w:rPr>
        <w:t xml:space="preserve"> professional financial planning bodies, including:</w:t>
      </w:r>
    </w:p>
    <w:p w14:paraId="18608264" w14:textId="77777777" w:rsidR="001B582B" w:rsidRPr="00CB5C8C" w:rsidRDefault="001B582B" w:rsidP="001B582B">
      <w:pPr>
        <w:rPr>
          <w:rFonts w:asciiTheme="minorHAnsi" w:hAnsiTheme="minorHAnsi" w:cstheme="minorHAnsi"/>
          <w:color w:val="943634" w:themeColor="accent2" w:themeShade="BF"/>
          <w:sz w:val="22"/>
          <w:szCs w:val="22"/>
        </w:rPr>
      </w:pPr>
    </w:p>
    <w:p w14:paraId="4976FABD" w14:textId="77777777" w:rsidR="001B582B" w:rsidRPr="00CB5C8C" w:rsidRDefault="001B582B" w:rsidP="001B582B">
      <w:pPr>
        <w:pStyle w:val="ColorfulList-Accent12"/>
        <w:numPr>
          <w:ilvl w:val="0"/>
          <w:numId w:val="48"/>
        </w:numPr>
        <w:spacing w:after="0"/>
        <w:rPr>
          <w:rFonts w:asciiTheme="minorHAnsi" w:hAnsiTheme="minorHAnsi" w:cstheme="minorHAnsi"/>
          <w:color w:val="943634" w:themeColor="accent2" w:themeShade="BF"/>
          <w:sz w:val="22"/>
          <w:szCs w:val="22"/>
        </w:rPr>
      </w:pPr>
      <w:proofErr w:type="spellStart"/>
      <w:r w:rsidRPr="00CB5C8C">
        <w:rPr>
          <w:rFonts w:asciiTheme="minorHAnsi" w:hAnsiTheme="minorHAnsi" w:cstheme="minorHAnsi"/>
          <w:color w:val="943634" w:themeColor="accent2" w:themeShade="BF"/>
          <w:sz w:val="22"/>
          <w:szCs w:val="22"/>
        </w:rPr>
        <w:t>Österreichischer</w:t>
      </w:r>
      <w:proofErr w:type="spellEnd"/>
      <w:r w:rsidRPr="00CB5C8C">
        <w:rPr>
          <w:rFonts w:asciiTheme="minorHAnsi" w:hAnsiTheme="minorHAnsi" w:cstheme="minorHAnsi"/>
          <w:color w:val="943634" w:themeColor="accent2" w:themeShade="BF"/>
          <w:sz w:val="22"/>
          <w:szCs w:val="22"/>
        </w:rPr>
        <w:t xml:space="preserve"> </w:t>
      </w:r>
      <w:proofErr w:type="spellStart"/>
      <w:r w:rsidRPr="00CB5C8C">
        <w:rPr>
          <w:rFonts w:asciiTheme="minorHAnsi" w:hAnsiTheme="minorHAnsi" w:cstheme="minorHAnsi"/>
          <w:color w:val="943634" w:themeColor="accent2" w:themeShade="BF"/>
          <w:sz w:val="22"/>
          <w:szCs w:val="22"/>
        </w:rPr>
        <w:t>Verband</w:t>
      </w:r>
      <w:proofErr w:type="spellEnd"/>
      <w:r w:rsidRPr="00CB5C8C">
        <w:rPr>
          <w:rFonts w:asciiTheme="minorHAnsi" w:hAnsiTheme="minorHAnsi" w:cstheme="minorHAnsi"/>
          <w:color w:val="943634" w:themeColor="accent2" w:themeShade="BF"/>
          <w:sz w:val="22"/>
          <w:szCs w:val="22"/>
        </w:rPr>
        <w:t xml:space="preserve"> Financial Planners (Austria)</w:t>
      </w:r>
    </w:p>
    <w:p w14:paraId="747DF847" w14:textId="77777777" w:rsidR="001B582B" w:rsidRPr="002E4924" w:rsidRDefault="001B582B" w:rsidP="001B582B">
      <w:pPr>
        <w:pStyle w:val="ColorfulList-Accent12"/>
        <w:numPr>
          <w:ilvl w:val="0"/>
          <w:numId w:val="48"/>
        </w:numPr>
        <w:spacing w:after="0"/>
        <w:rPr>
          <w:rFonts w:asciiTheme="minorHAnsi" w:eastAsia="Times New Roman" w:hAnsiTheme="minorHAnsi" w:cstheme="minorHAnsi"/>
          <w:color w:val="943634" w:themeColor="accent2" w:themeShade="BF"/>
          <w:sz w:val="22"/>
          <w:szCs w:val="22"/>
          <w:lang w:val="fr-FR"/>
        </w:rPr>
      </w:pPr>
      <w:r w:rsidRPr="002E4924">
        <w:rPr>
          <w:rFonts w:asciiTheme="minorHAnsi" w:hAnsiTheme="minorHAnsi" w:cstheme="minorHAnsi"/>
          <w:color w:val="943634" w:themeColor="accent2" w:themeShade="BF"/>
          <w:sz w:val="22"/>
          <w:szCs w:val="22"/>
          <w:lang w:val="fr-FR"/>
        </w:rPr>
        <w:t xml:space="preserve">Association </w:t>
      </w:r>
      <w:proofErr w:type="spellStart"/>
      <w:r w:rsidRPr="002E4924">
        <w:rPr>
          <w:rFonts w:asciiTheme="minorHAnsi" w:hAnsiTheme="minorHAnsi" w:cstheme="minorHAnsi"/>
          <w:color w:val="943634" w:themeColor="accent2" w:themeShade="BF"/>
          <w:sz w:val="22"/>
          <w:szCs w:val="22"/>
          <w:lang w:val="fr-FR"/>
        </w:rPr>
        <w:t>Francaise</w:t>
      </w:r>
      <w:proofErr w:type="spellEnd"/>
      <w:r w:rsidRPr="002E4924">
        <w:rPr>
          <w:rFonts w:asciiTheme="minorHAnsi" w:hAnsiTheme="minorHAnsi" w:cstheme="minorHAnsi"/>
          <w:color w:val="943634" w:themeColor="accent2" w:themeShade="BF"/>
          <w:sz w:val="22"/>
          <w:szCs w:val="22"/>
          <w:lang w:val="fr-FR"/>
        </w:rPr>
        <w:t xml:space="preserve"> des Conseils en Gestion de Patrimoine Certifies (France)</w:t>
      </w:r>
    </w:p>
    <w:p w14:paraId="1FAAB0E8" w14:textId="77777777" w:rsidR="001B582B" w:rsidRPr="00CB5C8C" w:rsidRDefault="001B582B" w:rsidP="001B582B">
      <w:pPr>
        <w:pStyle w:val="ColorfulList-Accent12"/>
        <w:numPr>
          <w:ilvl w:val="0"/>
          <w:numId w:val="48"/>
        </w:numPr>
        <w:spacing w:after="0"/>
        <w:rPr>
          <w:rFonts w:asciiTheme="minorHAnsi" w:eastAsia="Times New Roman"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Financial Planning Standards Board Deutschland (Germany)</w:t>
      </w:r>
    </w:p>
    <w:p w14:paraId="72518A85" w14:textId="77777777" w:rsidR="001B582B" w:rsidRPr="00CB5C8C" w:rsidRDefault="001B582B" w:rsidP="001B582B">
      <w:pPr>
        <w:pStyle w:val="ColorfulList-Accent12"/>
        <w:numPr>
          <w:ilvl w:val="0"/>
          <w:numId w:val="48"/>
        </w:numPr>
        <w:spacing w:after="0"/>
        <w:rPr>
          <w:rFonts w:asciiTheme="minorHAnsi" w:eastAsia="Times New Roman"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Financial Planning Standards Board Ireland</w:t>
      </w:r>
    </w:p>
    <w:p w14:paraId="3D3C1324" w14:textId="77777777" w:rsidR="001B582B" w:rsidRPr="00CB5C8C" w:rsidRDefault="001B582B" w:rsidP="001B582B">
      <w:pPr>
        <w:pStyle w:val="ColorfulList-Accent12"/>
        <w:numPr>
          <w:ilvl w:val="0"/>
          <w:numId w:val="48"/>
        </w:numPr>
        <w:spacing w:after="0"/>
        <w:rPr>
          <w:rFonts w:asciiTheme="minorHAnsi" w:eastAsia="Times New Roman" w:hAnsiTheme="minorHAnsi" w:cstheme="minorHAnsi"/>
          <w:color w:val="943634" w:themeColor="accent2" w:themeShade="BF"/>
          <w:sz w:val="22"/>
          <w:szCs w:val="22"/>
        </w:rPr>
      </w:pPr>
      <w:proofErr w:type="spellStart"/>
      <w:r w:rsidRPr="00CB5C8C">
        <w:rPr>
          <w:rFonts w:asciiTheme="minorHAnsi" w:hAnsiTheme="minorHAnsi" w:cstheme="minorHAnsi"/>
          <w:color w:val="943634" w:themeColor="accent2" w:themeShade="BF"/>
          <w:sz w:val="22"/>
          <w:szCs w:val="22"/>
        </w:rPr>
        <w:t>Federatie</w:t>
      </w:r>
      <w:proofErr w:type="spellEnd"/>
      <w:r w:rsidRPr="00CB5C8C">
        <w:rPr>
          <w:rFonts w:asciiTheme="minorHAnsi" w:hAnsiTheme="minorHAnsi" w:cstheme="minorHAnsi"/>
          <w:color w:val="943634" w:themeColor="accent2" w:themeShade="BF"/>
          <w:sz w:val="22"/>
          <w:szCs w:val="22"/>
        </w:rPr>
        <w:t xml:space="preserve"> </w:t>
      </w:r>
      <w:proofErr w:type="spellStart"/>
      <w:r w:rsidRPr="00CB5C8C">
        <w:rPr>
          <w:rFonts w:asciiTheme="minorHAnsi" w:hAnsiTheme="minorHAnsi" w:cstheme="minorHAnsi"/>
          <w:color w:val="943634" w:themeColor="accent2" w:themeShade="BF"/>
          <w:sz w:val="22"/>
          <w:szCs w:val="22"/>
        </w:rPr>
        <w:t>Financieel</w:t>
      </w:r>
      <w:proofErr w:type="spellEnd"/>
      <w:r w:rsidRPr="00CB5C8C">
        <w:rPr>
          <w:rFonts w:asciiTheme="minorHAnsi" w:hAnsiTheme="minorHAnsi" w:cstheme="minorHAnsi"/>
          <w:color w:val="943634" w:themeColor="accent2" w:themeShade="BF"/>
          <w:sz w:val="22"/>
          <w:szCs w:val="22"/>
        </w:rPr>
        <w:t xml:space="preserve"> Planners (The Netherlands)</w:t>
      </w:r>
    </w:p>
    <w:p w14:paraId="44B72B9D" w14:textId="77777777" w:rsidR="001B582B" w:rsidRPr="00CB5C8C" w:rsidRDefault="001B582B" w:rsidP="001B582B">
      <w:pPr>
        <w:pStyle w:val="ColorfulList-Accent12"/>
        <w:numPr>
          <w:ilvl w:val="0"/>
          <w:numId w:val="48"/>
        </w:numPr>
        <w:spacing w:after="0"/>
        <w:rPr>
          <w:rFonts w:asciiTheme="minorHAnsi" w:eastAsia="Times New Roman"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Swiss Financial Planners Organization (Switzerland)</w:t>
      </w:r>
    </w:p>
    <w:p w14:paraId="4210F037" w14:textId="77777777" w:rsidR="001B582B" w:rsidRPr="00CB5C8C" w:rsidRDefault="001B582B" w:rsidP="001B582B">
      <w:pPr>
        <w:pStyle w:val="ColorfulList-Accent12"/>
        <w:numPr>
          <w:ilvl w:val="0"/>
          <w:numId w:val="48"/>
        </w:numPr>
        <w:spacing w:after="0"/>
        <w:rPr>
          <w:rFonts w:asciiTheme="minorHAnsi" w:eastAsia="Times New Roman" w:hAnsiTheme="minorHAnsi" w:cstheme="minorHAnsi"/>
          <w:color w:val="943634" w:themeColor="accent2" w:themeShade="BF"/>
          <w:sz w:val="22"/>
          <w:szCs w:val="22"/>
        </w:rPr>
      </w:pPr>
      <w:proofErr w:type="spellStart"/>
      <w:r w:rsidRPr="00CB5C8C">
        <w:rPr>
          <w:rFonts w:asciiTheme="minorHAnsi" w:hAnsiTheme="minorHAnsi" w:cstheme="minorHAnsi"/>
          <w:color w:val="943634" w:themeColor="accent2" w:themeShade="BF"/>
          <w:sz w:val="22"/>
          <w:szCs w:val="22"/>
        </w:rPr>
        <w:t>Finansal</w:t>
      </w:r>
      <w:proofErr w:type="spellEnd"/>
      <w:r w:rsidRPr="00CB5C8C">
        <w:rPr>
          <w:rFonts w:asciiTheme="minorHAnsi" w:hAnsiTheme="minorHAnsi" w:cstheme="minorHAnsi"/>
          <w:color w:val="943634" w:themeColor="accent2" w:themeShade="BF"/>
          <w:sz w:val="22"/>
          <w:szCs w:val="22"/>
        </w:rPr>
        <w:t xml:space="preserve"> </w:t>
      </w:r>
      <w:proofErr w:type="spellStart"/>
      <w:r w:rsidRPr="00CB5C8C">
        <w:rPr>
          <w:rFonts w:asciiTheme="minorHAnsi" w:hAnsiTheme="minorHAnsi" w:cstheme="minorHAnsi"/>
          <w:color w:val="943634" w:themeColor="accent2" w:themeShade="BF"/>
          <w:sz w:val="22"/>
          <w:szCs w:val="22"/>
        </w:rPr>
        <w:t>Planlama</w:t>
      </w:r>
      <w:proofErr w:type="spellEnd"/>
      <w:r w:rsidRPr="00CB5C8C">
        <w:rPr>
          <w:rFonts w:asciiTheme="minorHAnsi" w:hAnsiTheme="minorHAnsi" w:cstheme="minorHAnsi"/>
          <w:color w:val="943634" w:themeColor="accent2" w:themeShade="BF"/>
          <w:sz w:val="22"/>
          <w:szCs w:val="22"/>
        </w:rPr>
        <w:t xml:space="preserve"> </w:t>
      </w:r>
      <w:proofErr w:type="spellStart"/>
      <w:r w:rsidRPr="00CB5C8C">
        <w:rPr>
          <w:rFonts w:asciiTheme="minorHAnsi" w:hAnsiTheme="minorHAnsi" w:cstheme="minorHAnsi"/>
          <w:color w:val="943634" w:themeColor="accent2" w:themeShade="BF"/>
          <w:sz w:val="22"/>
          <w:szCs w:val="22"/>
        </w:rPr>
        <w:t>Derneği</w:t>
      </w:r>
      <w:proofErr w:type="spellEnd"/>
      <w:r w:rsidRPr="00CB5C8C">
        <w:rPr>
          <w:rFonts w:asciiTheme="minorHAnsi" w:hAnsiTheme="minorHAnsi" w:cstheme="minorHAnsi"/>
          <w:color w:val="943634" w:themeColor="accent2" w:themeShade="BF"/>
          <w:sz w:val="22"/>
          <w:szCs w:val="22"/>
        </w:rPr>
        <w:t xml:space="preserve"> (Turkey)</w:t>
      </w:r>
    </w:p>
    <w:p w14:paraId="1EDC4114" w14:textId="3BA66871" w:rsidR="001B582B" w:rsidRPr="00CB5C8C" w:rsidRDefault="001B582B" w:rsidP="001B582B">
      <w:pPr>
        <w:pStyle w:val="ColorfulList-Accent12"/>
        <w:numPr>
          <w:ilvl w:val="0"/>
          <w:numId w:val="48"/>
        </w:numPr>
        <w:spacing w:after="0"/>
        <w:rPr>
          <w:rFonts w:asciiTheme="minorHAnsi" w:eastAsia="Times New Roman"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Chartered Institute for Securities &amp; Investment (United Kingdom)</w:t>
      </w:r>
    </w:p>
    <w:p w14:paraId="7A018CFE" w14:textId="0717C561" w:rsidR="001B582B" w:rsidRPr="00CB5C8C" w:rsidRDefault="001B582B" w:rsidP="001B582B">
      <w:pPr>
        <w:pStyle w:val="ColorfulList-Accent12"/>
        <w:spacing w:after="0"/>
        <w:rPr>
          <w:rFonts w:asciiTheme="minorHAnsi" w:hAnsiTheme="minorHAnsi" w:cstheme="minorHAnsi"/>
          <w:color w:val="943634" w:themeColor="accent2" w:themeShade="BF"/>
          <w:sz w:val="22"/>
          <w:szCs w:val="22"/>
        </w:rPr>
      </w:pPr>
    </w:p>
    <w:p w14:paraId="15261FE3" w14:textId="77777777" w:rsidR="001B582B" w:rsidRPr="00CB5C8C" w:rsidRDefault="001B582B" w:rsidP="001B582B">
      <w:pPr>
        <w:rPr>
          <w:rFonts w:asciiTheme="minorHAnsi"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Established in 2004, FPSB’s mission is to benefit the public by establishing, upholding and promoting worldwide professional standards in financial planning. FPSB, together with its global network of professional financial planning bodies – represented in Europe by the organizations above – develops, promotes and enforces internationally consistent, locally relevant standards so that:</w:t>
      </w:r>
    </w:p>
    <w:p w14:paraId="72A20966" w14:textId="77777777" w:rsidR="001B582B" w:rsidRPr="00CB5C8C" w:rsidRDefault="001B582B" w:rsidP="001B582B">
      <w:pPr>
        <w:numPr>
          <w:ilvl w:val="0"/>
          <w:numId w:val="49"/>
        </w:numPr>
        <w:rPr>
          <w:rFonts w:asciiTheme="minorHAnsi"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 xml:space="preserve">The public can identify competent, ethical financial planners who have committed to placing their clients’ interests first; </w:t>
      </w:r>
    </w:p>
    <w:p w14:paraId="4D4F8843" w14:textId="77777777" w:rsidR="001B582B" w:rsidRPr="00CB5C8C" w:rsidRDefault="001B582B" w:rsidP="001B582B">
      <w:pPr>
        <w:numPr>
          <w:ilvl w:val="0"/>
          <w:numId w:val="49"/>
        </w:numPr>
        <w:rPr>
          <w:rFonts w:asciiTheme="minorHAnsi"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Practitioners can distinguish themselves as competent, ethical financial planning professionals; and</w:t>
      </w:r>
    </w:p>
    <w:p w14:paraId="7F2B5611" w14:textId="77777777" w:rsidR="001B582B" w:rsidRPr="00CB5C8C" w:rsidRDefault="001B582B" w:rsidP="001B582B">
      <w:pPr>
        <w:numPr>
          <w:ilvl w:val="0"/>
          <w:numId w:val="49"/>
        </w:numPr>
        <w:rPr>
          <w:rFonts w:asciiTheme="minorHAnsi"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Consumers, regulators and other key stakeholders can have confidence in both financial planning professionals and the financial planning profession, and recognize the value that financial planning offers to individuals and society.</w:t>
      </w:r>
    </w:p>
    <w:p w14:paraId="64AE2CA0" w14:textId="77777777" w:rsidR="001B582B" w:rsidRPr="00CB5C8C" w:rsidRDefault="001B582B" w:rsidP="001B582B">
      <w:pPr>
        <w:widowControl w:val="0"/>
        <w:autoSpaceDE w:val="0"/>
        <w:autoSpaceDN w:val="0"/>
        <w:adjustRightInd w:val="0"/>
        <w:rPr>
          <w:rFonts w:asciiTheme="minorHAnsi" w:hAnsiTheme="minorHAnsi" w:cstheme="minorHAnsi"/>
          <w:color w:val="943634" w:themeColor="accent2" w:themeShade="BF"/>
          <w:sz w:val="22"/>
          <w:szCs w:val="22"/>
        </w:rPr>
      </w:pPr>
    </w:p>
    <w:p w14:paraId="5EE14ED7" w14:textId="2C17E8F7" w:rsidR="001B582B" w:rsidRPr="00CB5C8C" w:rsidRDefault="001B582B" w:rsidP="001B582B">
      <w:pPr>
        <w:widowControl w:val="0"/>
        <w:autoSpaceDE w:val="0"/>
        <w:autoSpaceDN w:val="0"/>
        <w:adjustRightInd w:val="0"/>
        <w:rPr>
          <w:rFonts w:asciiTheme="minorHAnsi"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As of 31 December 2018, there were 181,360 CFP professionals in 26 countries and territories worldwide, with nearly 8,600 CERTIFIED FINANCIAL PLANNER professionals practicing in Austria, France, Germany, Ireland, the Netherlands, Switzerland and the United Kingdom.</w:t>
      </w:r>
    </w:p>
    <w:p w14:paraId="2C510F51" w14:textId="77777777" w:rsidR="001B582B" w:rsidRPr="00CB5C8C" w:rsidRDefault="001B582B" w:rsidP="001B582B">
      <w:pPr>
        <w:widowControl w:val="0"/>
        <w:autoSpaceDE w:val="0"/>
        <w:autoSpaceDN w:val="0"/>
        <w:adjustRightInd w:val="0"/>
        <w:rPr>
          <w:rFonts w:asciiTheme="minorHAnsi" w:hAnsiTheme="minorHAnsi" w:cstheme="minorHAnsi"/>
          <w:color w:val="943634" w:themeColor="accent2" w:themeShade="BF"/>
          <w:sz w:val="22"/>
          <w:szCs w:val="22"/>
        </w:rPr>
      </w:pPr>
    </w:p>
    <w:p w14:paraId="35FBCAF1" w14:textId="124A3C76" w:rsidR="001B582B" w:rsidRPr="00CB5C8C" w:rsidRDefault="001B582B" w:rsidP="001B582B">
      <w:pPr>
        <w:rPr>
          <w:rFonts w:asciiTheme="minorHAnsi" w:hAnsiTheme="minorHAnsi" w:cstheme="minorHAnsi"/>
          <w:color w:val="943634" w:themeColor="accent2" w:themeShade="BF"/>
          <w:sz w:val="22"/>
          <w:szCs w:val="22"/>
        </w:rPr>
      </w:pPr>
      <w:r w:rsidRPr="00CB5C8C">
        <w:rPr>
          <w:rFonts w:asciiTheme="minorHAnsi" w:hAnsiTheme="minorHAnsi" w:cstheme="minorHAnsi"/>
          <w:color w:val="943634" w:themeColor="accent2" w:themeShade="BF"/>
          <w:sz w:val="22"/>
          <w:szCs w:val="22"/>
        </w:rPr>
        <w:t xml:space="preserve">FPSB Europe’s responses to the ESAs’ questions are through the rubric of financial planning – a client-centric, process-driven professional practice that can help (re)build trust and restore the public’s confidence in the marketplace and financial intermediaries. If you have any questions or would like additional information, please feel free to contact me at +33 1 40 06 08 08  or </w:t>
      </w:r>
      <w:hyperlink r:id="rId24" w:history="1">
        <w:r w:rsidRPr="00CB5C8C">
          <w:rPr>
            <w:rStyle w:val="Lienhypertexte"/>
            <w:rFonts w:asciiTheme="minorHAnsi" w:hAnsiTheme="minorHAnsi" w:cstheme="minorHAnsi"/>
            <w:color w:val="943634" w:themeColor="accent2" w:themeShade="BF"/>
            <w:sz w:val="22"/>
            <w:szCs w:val="22"/>
            <w:highlight w:val="yellow"/>
          </w:rPr>
          <w:t>raymondleban@cgpc.fr</w:t>
        </w:r>
      </w:hyperlink>
      <w:r w:rsidRPr="00CB5C8C">
        <w:rPr>
          <w:rFonts w:asciiTheme="minorHAnsi" w:hAnsiTheme="minorHAnsi" w:cstheme="minorHAnsi"/>
          <w:color w:val="943634" w:themeColor="accent2" w:themeShade="BF"/>
          <w:sz w:val="22"/>
          <w:szCs w:val="22"/>
        </w:rPr>
        <w:t xml:space="preserve">, or FPSB’s CEO Noel Maye at +1-720-407-1902 or </w:t>
      </w:r>
      <w:hyperlink r:id="rId25" w:history="1">
        <w:r w:rsidRPr="00CB5C8C">
          <w:rPr>
            <w:rStyle w:val="Lienhypertexte"/>
            <w:rFonts w:asciiTheme="minorHAnsi" w:hAnsiTheme="minorHAnsi" w:cstheme="minorHAnsi"/>
            <w:color w:val="943634" w:themeColor="accent2" w:themeShade="BF"/>
            <w:sz w:val="22"/>
            <w:szCs w:val="22"/>
          </w:rPr>
          <w:t>nmaye@fpsb.org</w:t>
        </w:r>
      </w:hyperlink>
      <w:r w:rsidRPr="00CB5C8C">
        <w:rPr>
          <w:rFonts w:asciiTheme="minorHAnsi" w:hAnsiTheme="minorHAnsi" w:cstheme="minorHAnsi"/>
          <w:color w:val="943634" w:themeColor="accent2" w:themeShade="BF"/>
          <w:sz w:val="22"/>
          <w:szCs w:val="22"/>
        </w:rPr>
        <w:t>. We appreciate the opportunity to participate in the ESAs’ comment process.</w:t>
      </w:r>
    </w:p>
    <w:permEnd w:id="411981036"/>
    <w:p w14:paraId="6A3CB062" w14:textId="1DA6EC94" w:rsidR="00B327E9" w:rsidRPr="00BF28DA" w:rsidRDefault="00B327E9" w:rsidP="00B327E9">
      <w:r w:rsidRPr="00BF28DA">
        <w:t>&lt;ESA_COMMENT_</w:t>
      </w:r>
      <w:r w:rsidR="00197794">
        <w:rPr>
          <w:rStyle w:val="Accentuationlgre"/>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7C84FCFA" w14:textId="01D6C6D3" w:rsidR="001B582B" w:rsidRDefault="00E43AB4" w:rsidP="001B582B">
      <w:pPr>
        <w:pStyle w:val="Default"/>
        <w:spacing w:after="120"/>
        <w:jc w:val="both"/>
        <w:rPr>
          <w:rFonts w:asciiTheme="minorHAnsi" w:hAnsiTheme="minorHAnsi" w:cstheme="minorHAnsi"/>
          <w:color w:val="943634" w:themeColor="accent2" w:themeShade="BF"/>
          <w:sz w:val="22"/>
          <w:szCs w:val="22"/>
          <w:lang w:val="en-US"/>
        </w:rPr>
      </w:pPr>
      <w:permStart w:id="1221819945" w:edGrp="everyone"/>
      <w:r w:rsidRPr="00C012E4">
        <w:rPr>
          <w:rFonts w:asciiTheme="minorHAnsi" w:hAnsiTheme="minorHAnsi" w:cstheme="minorHAnsi"/>
          <w:color w:val="943634" w:themeColor="accent2" w:themeShade="BF"/>
          <w:sz w:val="22"/>
          <w:szCs w:val="22"/>
          <w:lang w:val="en-US"/>
        </w:rPr>
        <w:t>If by digital solutions</w:t>
      </w:r>
      <w:r>
        <w:rPr>
          <w:rFonts w:asciiTheme="minorHAnsi" w:hAnsiTheme="minorHAnsi" w:cstheme="minorHAnsi"/>
          <w:color w:val="943634" w:themeColor="accent2" w:themeShade="BF"/>
          <w:sz w:val="22"/>
          <w:szCs w:val="22"/>
          <w:lang w:val="en-US"/>
        </w:rPr>
        <w:t>,</w:t>
      </w:r>
      <w:r w:rsidRPr="00C012E4">
        <w:rPr>
          <w:rFonts w:asciiTheme="minorHAnsi" w:hAnsiTheme="minorHAnsi" w:cstheme="minorHAnsi"/>
          <w:color w:val="943634" w:themeColor="accent2" w:themeShade="BF"/>
          <w:sz w:val="22"/>
          <w:szCs w:val="22"/>
          <w:lang w:val="en-US"/>
        </w:rPr>
        <w:t xml:space="preserve"> the ESAs mean electronic versions of the </w:t>
      </w:r>
      <w:r w:rsidRPr="001B582B">
        <w:rPr>
          <w:rFonts w:asciiTheme="minorHAnsi" w:hAnsiTheme="minorHAnsi" w:cstheme="minorHAnsi"/>
          <w:color w:val="943634" w:themeColor="accent2" w:themeShade="BF"/>
          <w:sz w:val="22"/>
          <w:szCs w:val="22"/>
          <w:lang w:val="en-US"/>
        </w:rPr>
        <w:t>durable mediums used to supply the KID</w:t>
      </w:r>
      <w:r w:rsidRPr="00C012E4">
        <w:rPr>
          <w:rFonts w:asciiTheme="minorHAnsi" w:hAnsiTheme="minorHAnsi" w:cstheme="minorHAnsi"/>
          <w:color w:val="943634" w:themeColor="accent2" w:themeShade="BF"/>
          <w:sz w:val="22"/>
          <w:szCs w:val="22"/>
          <w:lang w:val="en-US"/>
        </w:rPr>
        <w:t>, or websites</w:t>
      </w:r>
      <w:r>
        <w:rPr>
          <w:rFonts w:asciiTheme="minorHAnsi" w:hAnsiTheme="minorHAnsi" w:cstheme="minorHAnsi"/>
          <w:color w:val="943634" w:themeColor="accent2" w:themeShade="BF"/>
          <w:sz w:val="22"/>
          <w:szCs w:val="22"/>
          <w:lang w:val="en-US"/>
        </w:rPr>
        <w:t xml:space="preserve"> containing the KID information</w:t>
      </w:r>
      <w:r w:rsidRPr="00C012E4">
        <w:rPr>
          <w:rFonts w:asciiTheme="minorHAnsi" w:hAnsiTheme="minorHAnsi" w:cstheme="minorHAnsi"/>
          <w:color w:val="943634" w:themeColor="accent2" w:themeShade="BF"/>
          <w:sz w:val="22"/>
          <w:szCs w:val="22"/>
          <w:lang w:val="en-US"/>
        </w:rPr>
        <w:t xml:space="preserve">, these are authorized in view of Article 14 §2, 4 and 5 of the PRIIPS regulation. </w:t>
      </w:r>
    </w:p>
    <w:p w14:paraId="18AE35D4" w14:textId="21EFA698" w:rsidR="001B582B" w:rsidRPr="00C012E4" w:rsidRDefault="00E43AB4" w:rsidP="001B582B">
      <w:pPr>
        <w:pStyle w:val="Default"/>
        <w:spacing w:after="120"/>
        <w:jc w:val="both"/>
        <w:rPr>
          <w:rFonts w:asciiTheme="minorHAnsi" w:hAnsiTheme="minorHAnsi" w:cstheme="minorHAnsi"/>
          <w:color w:val="943634" w:themeColor="accent2" w:themeShade="BF"/>
          <w:sz w:val="22"/>
          <w:szCs w:val="22"/>
          <w:lang w:val="en-US"/>
        </w:rPr>
      </w:pPr>
      <w:r w:rsidRPr="00C012E4">
        <w:rPr>
          <w:rFonts w:asciiTheme="minorHAnsi" w:hAnsiTheme="minorHAnsi" w:cstheme="minorHAnsi"/>
          <w:color w:val="943634" w:themeColor="accent2" w:themeShade="BF"/>
          <w:sz w:val="22"/>
          <w:szCs w:val="22"/>
          <w:lang w:val="en-US"/>
        </w:rPr>
        <w:t xml:space="preserve">Besides, the understanding of FPSB Europe is that portable (mobile) applications fall under the provisions of letter c) of Article 14§2. </w:t>
      </w:r>
    </w:p>
    <w:p w14:paraId="23F81503" w14:textId="77777777" w:rsidR="00E43AB4" w:rsidRPr="00C012E4" w:rsidRDefault="00E43AB4" w:rsidP="00E43AB4">
      <w:pPr>
        <w:pStyle w:val="Default"/>
        <w:spacing w:after="120"/>
        <w:jc w:val="both"/>
        <w:rPr>
          <w:rFonts w:asciiTheme="minorHAnsi" w:hAnsiTheme="minorHAnsi" w:cstheme="minorHAnsi"/>
          <w:color w:val="943634" w:themeColor="accent2" w:themeShade="BF"/>
          <w:sz w:val="22"/>
          <w:szCs w:val="22"/>
          <w:lang w:val="en-US"/>
        </w:rPr>
      </w:pPr>
      <w:r w:rsidRPr="00C012E4">
        <w:rPr>
          <w:rFonts w:asciiTheme="minorHAnsi" w:hAnsiTheme="minorHAnsi" w:cstheme="minorHAnsi"/>
          <w:color w:val="943634" w:themeColor="accent2" w:themeShade="BF"/>
          <w:sz w:val="22"/>
          <w:szCs w:val="22"/>
          <w:lang w:val="en-US"/>
        </w:rPr>
        <w:t xml:space="preserve">If digital solutions are seen as means to </w:t>
      </w:r>
      <w:r w:rsidRPr="00C012E4">
        <w:rPr>
          <w:rFonts w:asciiTheme="minorHAnsi" w:hAnsiTheme="minorHAnsi" w:cstheme="minorHAnsi"/>
          <w:i/>
          <w:iCs/>
          <w:color w:val="943634" w:themeColor="accent2" w:themeShade="BF"/>
          <w:sz w:val="22"/>
          <w:szCs w:val="22"/>
          <w:lang w:val="en-US"/>
        </w:rPr>
        <w:t xml:space="preserve">customize </w:t>
      </w:r>
      <w:r w:rsidRPr="00C012E4">
        <w:rPr>
          <w:rFonts w:asciiTheme="minorHAnsi" w:hAnsiTheme="minorHAnsi" w:cstheme="minorHAnsi"/>
          <w:color w:val="943634" w:themeColor="accent2" w:themeShade="BF"/>
          <w:sz w:val="22"/>
          <w:szCs w:val="22"/>
          <w:lang w:val="en-US"/>
        </w:rPr>
        <w:t>the content, format or order of presentation of the key information of the PRIIP, such as dropdown lists, tabs, windows, flip-images, videos</w:t>
      </w:r>
      <w:r>
        <w:rPr>
          <w:rFonts w:asciiTheme="minorHAnsi" w:hAnsiTheme="minorHAnsi" w:cstheme="minorHAnsi"/>
          <w:color w:val="943634" w:themeColor="accent2" w:themeShade="BF"/>
          <w:sz w:val="22"/>
          <w:szCs w:val="22"/>
          <w:lang w:val="en-US"/>
        </w:rPr>
        <w:t xml:space="preserve"> </w:t>
      </w:r>
      <w:r w:rsidRPr="00C012E4">
        <w:rPr>
          <w:rFonts w:asciiTheme="minorHAnsi" w:hAnsiTheme="minorHAnsi" w:cstheme="minorHAnsi"/>
          <w:color w:val="943634" w:themeColor="accent2" w:themeShade="BF"/>
          <w:sz w:val="22"/>
          <w:szCs w:val="22"/>
          <w:lang w:val="en-US"/>
        </w:rPr>
        <w:t>or electronic features allowing for information customization (</w:t>
      </w:r>
      <w:r>
        <w:rPr>
          <w:rFonts w:asciiTheme="minorHAnsi" w:hAnsiTheme="minorHAnsi" w:cstheme="minorHAnsi"/>
          <w:color w:val="943634" w:themeColor="accent2" w:themeShade="BF"/>
          <w:sz w:val="22"/>
          <w:szCs w:val="22"/>
          <w:lang w:val="en-US"/>
        </w:rPr>
        <w:t>like</w:t>
      </w:r>
      <w:r w:rsidRPr="00C012E4">
        <w:rPr>
          <w:rFonts w:asciiTheme="minorHAnsi" w:hAnsiTheme="minorHAnsi" w:cstheme="minorHAnsi"/>
          <w:color w:val="943634" w:themeColor="accent2" w:themeShade="BF"/>
          <w:sz w:val="22"/>
          <w:szCs w:val="22"/>
          <w:lang w:val="en-US"/>
        </w:rPr>
        <w:t xml:space="preserve"> computer-generated information), they are to be considered as </w:t>
      </w:r>
      <w:r>
        <w:rPr>
          <w:rFonts w:asciiTheme="minorHAnsi" w:hAnsiTheme="minorHAnsi" w:cstheme="minorHAnsi"/>
          <w:color w:val="943634" w:themeColor="accent2" w:themeShade="BF"/>
          <w:sz w:val="22"/>
          <w:szCs w:val="22"/>
          <w:lang w:val="en-US"/>
        </w:rPr>
        <w:t xml:space="preserve">not acceptable </w:t>
      </w:r>
      <w:r w:rsidRPr="00C012E4">
        <w:rPr>
          <w:rFonts w:asciiTheme="minorHAnsi" w:hAnsiTheme="minorHAnsi" w:cstheme="minorHAnsi"/>
          <w:color w:val="943634" w:themeColor="accent2" w:themeShade="BF"/>
          <w:sz w:val="22"/>
          <w:szCs w:val="22"/>
          <w:lang w:val="en-US"/>
        </w:rPr>
        <w:t>within the present PRIIPs regulatory framework.</w:t>
      </w:r>
    </w:p>
    <w:p w14:paraId="7F4AE263" w14:textId="77777777" w:rsidR="00E43AB4" w:rsidRPr="00C012E4" w:rsidRDefault="00E43AB4" w:rsidP="00E43AB4">
      <w:pPr>
        <w:pStyle w:val="Default"/>
        <w:spacing w:after="120"/>
        <w:jc w:val="both"/>
        <w:rPr>
          <w:rFonts w:asciiTheme="minorHAnsi" w:hAnsiTheme="minorHAnsi" w:cstheme="minorHAnsi"/>
          <w:color w:val="943634" w:themeColor="accent2" w:themeShade="BF"/>
          <w:sz w:val="22"/>
          <w:szCs w:val="22"/>
          <w:lang w:val="en-US"/>
        </w:rPr>
      </w:pPr>
      <w:r w:rsidRPr="00C012E4">
        <w:rPr>
          <w:rFonts w:asciiTheme="minorHAnsi" w:hAnsiTheme="minorHAnsi" w:cstheme="minorHAnsi"/>
          <w:color w:val="943634" w:themeColor="accent2" w:themeShade="BF"/>
          <w:sz w:val="22"/>
          <w:szCs w:val="22"/>
          <w:lang w:val="en-US"/>
        </w:rPr>
        <w:t>First, because, as it is the case with the UCITS Directive and other regulations pertaining to customer information and in light of Recital 27 of the PRIIPs regulation, the purpose of allowing the provision of KIDs on durable mediums appea</w:t>
      </w:r>
      <w:r>
        <w:rPr>
          <w:rFonts w:asciiTheme="minorHAnsi" w:hAnsiTheme="minorHAnsi" w:cstheme="minorHAnsi"/>
          <w:color w:val="943634" w:themeColor="accent2" w:themeShade="BF"/>
          <w:sz w:val="22"/>
          <w:szCs w:val="22"/>
          <w:lang w:val="en-US"/>
        </w:rPr>
        <w:t>rs</w:t>
      </w:r>
      <w:r w:rsidRPr="00C012E4">
        <w:rPr>
          <w:rFonts w:asciiTheme="minorHAnsi" w:hAnsiTheme="minorHAnsi" w:cstheme="minorHAnsi"/>
          <w:color w:val="943634" w:themeColor="accent2" w:themeShade="BF"/>
          <w:sz w:val="22"/>
          <w:szCs w:val="22"/>
          <w:lang w:val="en-US"/>
        </w:rPr>
        <w:t xml:space="preserve"> limited to making available the electronic format of the document.</w:t>
      </w:r>
    </w:p>
    <w:p w14:paraId="76DBE90C" w14:textId="77777777" w:rsidR="00E43AB4" w:rsidRPr="00C012E4" w:rsidRDefault="00E43AB4" w:rsidP="00E43AB4">
      <w:pPr>
        <w:pStyle w:val="Default"/>
        <w:spacing w:after="120"/>
        <w:jc w:val="both"/>
        <w:rPr>
          <w:rFonts w:asciiTheme="minorHAnsi" w:hAnsiTheme="minorHAnsi" w:cstheme="minorHAnsi"/>
          <w:color w:val="943634" w:themeColor="accent2" w:themeShade="BF"/>
          <w:sz w:val="22"/>
          <w:szCs w:val="22"/>
          <w:lang w:val="en-US"/>
        </w:rPr>
      </w:pPr>
      <w:r w:rsidRPr="00C012E4">
        <w:rPr>
          <w:rFonts w:asciiTheme="minorHAnsi" w:hAnsiTheme="minorHAnsi" w:cstheme="minorHAnsi"/>
          <w:color w:val="943634" w:themeColor="accent2" w:themeShade="BF"/>
          <w:sz w:val="22"/>
          <w:szCs w:val="22"/>
          <w:lang w:val="en-US"/>
        </w:rPr>
        <w:t>Second, because, while articles 13 and 14 of the PRIIPs Regulation (read in light of Recital 27) allow the customer to choose whether to receive the KID in paperback or electronic format, off line or on line, articles 6§2 and 8§1, 2 and 3, outline the status of “stand-alone document” of the KID and clearly and precisely define its form and content.</w:t>
      </w:r>
    </w:p>
    <w:p w14:paraId="6496FAC5" w14:textId="769C52C3" w:rsidR="003E573C" w:rsidRPr="0069477B" w:rsidRDefault="00E43AB4" w:rsidP="0069477B">
      <w:pPr>
        <w:pStyle w:val="Default"/>
        <w:spacing w:after="120"/>
        <w:jc w:val="both"/>
        <w:rPr>
          <w:rFonts w:asciiTheme="minorHAnsi" w:hAnsiTheme="minorHAnsi" w:cstheme="minorHAnsi"/>
          <w:color w:val="943634" w:themeColor="accent2" w:themeShade="BF"/>
          <w:sz w:val="22"/>
          <w:szCs w:val="22"/>
          <w:lang w:val="en-US"/>
        </w:rPr>
      </w:pPr>
      <w:r w:rsidRPr="00C012E4">
        <w:rPr>
          <w:rFonts w:asciiTheme="minorHAnsi" w:hAnsiTheme="minorHAnsi" w:cstheme="minorHAnsi"/>
          <w:color w:val="943634" w:themeColor="accent2" w:themeShade="BF"/>
          <w:sz w:val="22"/>
          <w:szCs w:val="22"/>
          <w:lang w:val="en-US"/>
        </w:rPr>
        <w:t xml:space="preserve">Investigating whether/how customizing the information in KIDs through digital solutions </w:t>
      </w:r>
      <w:r>
        <w:rPr>
          <w:rFonts w:asciiTheme="minorHAnsi" w:hAnsiTheme="minorHAnsi" w:cstheme="minorHAnsi"/>
          <w:color w:val="943634" w:themeColor="accent2" w:themeShade="BF"/>
          <w:sz w:val="22"/>
          <w:szCs w:val="22"/>
          <w:lang w:val="en-US"/>
        </w:rPr>
        <w:t xml:space="preserve">that </w:t>
      </w:r>
      <w:r w:rsidRPr="00C012E4">
        <w:rPr>
          <w:rFonts w:asciiTheme="minorHAnsi" w:hAnsiTheme="minorHAnsi" w:cstheme="minorHAnsi"/>
          <w:color w:val="943634" w:themeColor="accent2" w:themeShade="BF"/>
          <w:sz w:val="22"/>
          <w:szCs w:val="22"/>
          <w:lang w:val="en-US"/>
        </w:rPr>
        <w:t xml:space="preserve">could improve the understanding, comparison capabilities and engagement of retail investors, in particular by allowing the provision of totally tailor-made documents, would be interesting. Such investigation should however be led in the framework of a Level 1 review of the PRIIPs regulation. </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1177C97D" w14:textId="77777777" w:rsidR="00E43AB4" w:rsidRPr="00615FAD" w:rsidRDefault="00E43AB4" w:rsidP="00E43AB4">
      <w:pPr>
        <w:pStyle w:val="Default"/>
        <w:spacing w:after="120"/>
        <w:jc w:val="both"/>
        <w:rPr>
          <w:rFonts w:asciiTheme="minorHAnsi" w:hAnsiTheme="minorHAnsi" w:cstheme="minorHAnsi"/>
          <w:color w:val="943634" w:themeColor="accent2" w:themeShade="BF"/>
          <w:sz w:val="22"/>
          <w:szCs w:val="22"/>
          <w:lang w:val="en-US"/>
        </w:rPr>
      </w:pPr>
      <w:permStart w:id="729947415" w:edGrp="everyone"/>
      <w:r w:rsidRPr="00E43AB4">
        <w:rPr>
          <w:rFonts w:asciiTheme="minorHAnsi" w:hAnsiTheme="minorHAnsi" w:cstheme="minorHAnsi"/>
          <w:color w:val="943634" w:themeColor="accent2" w:themeShade="BF"/>
          <w:sz w:val="22"/>
          <w:szCs w:val="22"/>
          <w:lang w:val="en-US"/>
        </w:rPr>
        <w:t>FPSB Europe thinks that</w:t>
      </w:r>
      <w:r w:rsidRPr="00CE4238">
        <w:rPr>
          <w:color w:val="943634" w:themeColor="accent2" w:themeShade="BF"/>
          <w:sz w:val="22"/>
          <w:szCs w:val="22"/>
          <w:lang w:val="en-US"/>
        </w:rPr>
        <w:t xml:space="preserve"> </w:t>
      </w:r>
      <w:r w:rsidRPr="00615FAD">
        <w:rPr>
          <w:rFonts w:asciiTheme="minorHAnsi" w:hAnsiTheme="minorHAnsi" w:cstheme="minorHAnsi"/>
          <w:color w:val="943634" w:themeColor="accent2" w:themeShade="BF"/>
          <w:sz w:val="22"/>
          <w:szCs w:val="22"/>
          <w:lang w:val="en-US"/>
        </w:rPr>
        <w:t>this would be helpful, since it would:</w:t>
      </w:r>
    </w:p>
    <w:p w14:paraId="3B7983EC" w14:textId="77777777" w:rsidR="00E43AB4" w:rsidRPr="00C012E4" w:rsidRDefault="00E43AB4" w:rsidP="00E43AB4">
      <w:pPr>
        <w:pStyle w:val="Default"/>
        <w:tabs>
          <w:tab w:val="left" w:pos="284"/>
        </w:tabs>
        <w:jc w:val="both"/>
        <w:rPr>
          <w:rFonts w:asciiTheme="minorHAnsi" w:hAnsiTheme="minorHAnsi" w:cstheme="minorHAnsi"/>
          <w:color w:val="943634" w:themeColor="accent2" w:themeShade="BF"/>
          <w:sz w:val="22"/>
          <w:szCs w:val="22"/>
          <w:lang w:val="en-US"/>
        </w:rPr>
      </w:pPr>
      <w:r w:rsidRPr="00C012E4">
        <w:rPr>
          <w:rFonts w:asciiTheme="minorHAnsi" w:hAnsiTheme="minorHAnsi" w:cstheme="minorHAnsi"/>
          <w:color w:val="943634" w:themeColor="accent2" w:themeShade="BF"/>
          <w:sz w:val="22"/>
          <w:szCs w:val="22"/>
          <w:lang w:val="en-US"/>
        </w:rPr>
        <w:t xml:space="preserve">- </w:t>
      </w:r>
      <w:r>
        <w:rPr>
          <w:rFonts w:asciiTheme="minorHAnsi" w:hAnsiTheme="minorHAnsi" w:cstheme="minorHAnsi"/>
          <w:color w:val="943634" w:themeColor="accent2" w:themeShade="BF"/>
          <w:sz w:val="22"/>
          <w:szCs w:val="22"/>
          <w:lang w:val="en-US"/>
        </w:rPr>
        <w:t>ease</w:t>
      </w:r>
      <w:r w:rsidRPr="00C012E4">
        <w:rPr>
          <w:rFonts w:asciiTheme="minorHAnsi" w:hAnsiTheme="minorHAnsi" w:cstheme="minorHAnsi"/>
          <w:color w:val="943634" w:themeColor="accent2" w:themeShade="BF"/>
          <w:sz w:val="22"/>
          <w:szCs w:val="22"/>
          <w:lang w:val="en-US"/>
        </w:rPr>
        <w:t xml:space="preserve"> the iteration of ESAs’ reports on costs and past performance;</w:t>
      </w:r>
    </w:p>
    <w:p w14:paraId="3FC6C176" w14:textId="77777777" w:rsidR="00E43AB4" w:rsidRPr="00C012E4" w:rsidRDefault="00E43AB4" w:rsidP="00E43AB4">
      <w:pPr>
        <w:pStyle w:val="Default"/>
        <w:tabs>
          <w:tab w:val="left" w:pos="284"/>
        </w:tabs>
        <w:jc w:val="both"/>
        <w:rPr>
          <w:rFonts w:asciiTheme="minorHAnsi" w:hAnsiTheme="minorHAnsi" w:cstheme="minorHAnsi"/>
          <w:color w:val="943634" w:themeColor="accent2" w:themeShade="BF"/>
          <w:sz w:val="22"/>
          <w:szCs w:val="22"/>
          <w:lang w:val="en-US"/>
        </w:rPr>
      </w:pPr>
      <w:r w:rsidRPr="00C012E4">
        <w:rPr>
          <w:rFonts w:asciiTheme="minorHAnsi" w:hAnsiTheme="minorHAnsi" w:cstheme="minorHAnsi"/>
          <w:color w:val="943634" w:themeColor="accent2" w:themeShade="BF"/>
          <w:sz w:val="22"/>
          <w:szCs w:val="22"/>
          <w:lang w:val="en-US"/>
        </w:rPr>
        <w:t>- facilitate harmonized reporting by NCAs;</w:t>
      </w:r>
    </w:p>
    <w:p w14:paraId="7A09C6A0" w14:textId="37D212BA" w:rsidR="003E573C" w:rsidRPr="0069477B" w:rsidRDefault="00E43AB4" w:rsidP="0069477B">
      <w:pPr>
        <w:pStyle w:val="Default"/>
        <w:tabs>
          <w:tab w:val="left" w:pos="284"/>
        </w:tabs>
        <w:ind w:hanging="11"/>
        <w:jc w:val="both"/>
        <w:rPr>
          <w:rFonts w:asciiTheme="minorHAnsi" w:hAnsiTheme="minorHAnsi" w:cstheme="minorHAnsi"/>
          <w:color w:val="943634" w:themeColor="accent2" w:themeShade="BF"/>
          <w:lang w:val="en-US"/>
        </w:rPr>
      </w:pPr>
      <w:r w:rsidRPr="00C012E4">
        <w:rPr>
          <w:rFonts w:asciiTheme="minorHAnsi" w:hAnsiTheme="minorHAnsi" w:cstheme="minorHAnsi"/>
          <w:color w:val="943634" w:themeColor="accent2" w:themeShade="BF"/>
          <w:sz w:val="22"/>
          <w:szCs w:val="22"/>
          <w:lang w:val="en-US"/>
        </w:rPr>
        <w:t>- reduce the costs of data aggregation and reporting, especially in the context of developing web-comparison tools and online databases.</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446811E6" w:rsidR="003E573C" w:rsidRPr="0069477B" w:rsidRDefault="00E43AB4" w:rsidP="0069477B">
      <w:pPr>
        <w:pStyle w:val="Default"/>
        <w:jc w:val="both"/>
        <w:rPr>
          <w:rFonts w:asciiTheme="minorHAnsi" w:hAnsiTheme="minorHAnsi" w:cstheme="minorHAnsi"/>
          <w:color w:val="943634" w:themeColor="accent2" w:themeShade="BF"/>
          <w:sz w:val="22"/>
          <w:szCs w:val="22"/>
          <w:lang w:val="en-US"/>
        </w:rPr>
      </w:pPr>
      <w:permStart w:id="677205538" w:edGrp="everyone"/>
      <w:r w:rsidRPr="00E43AB4">
        <w:rPr>
          <w:rFonts w:asciiTheme="minorHAnsi" w:hAnsiTheme="minorHAnsi" w:cstheme="minorHAnsi"/>
          <w:color w:val="943634" w:themeColor="accent2" w:themeShade="BF"/>
          <w:sz w:val="22"/>
          <w:szCs w:val="22"/>
          <w:lang w:val="en-US"/>
        </w:rPr>
        <w:t>FPSB Europe thinks that the transitional periods for implementing the new requirements should be reduced as much as possible, in view of the difficulties encountered today by financial advisers and financial planners in helping retail investors to understand the meaning of the KID and to select the most suitable one using the information in the KID.</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0E9CFA95" w14:textId="77777777" w:rsidR="00E43AB4" w:rsidRPr="006A7817" w:rsidRDefault="00E43AB4" w:rsidP="00E43AB4">
      <w:pPr>
        <w:autoSpaceDE w:val="0"/>
        <w:autoSpaceDN w:val="0"/>
        <w:adjustRightInd w:val="0"/>
        <w:rPr>
          <w:rFonts w:ascii="Calibri" w:eastAsia="Calibri" w:hAnsi="Calibri" w:cs="Calibri"/>
          <w:color w:val="943634" w:themeColor="accent2" w:themeShade="BF"/>
          <w:sz w:val="22"/>
          <w:szCs w:val="22"/>
          <w:lang w:val="en-US" w:eastAsia="en-US"/>
        </w:rPr>
      </w:pPr>
      <w:permStart w:id="1220688604" w:edGrp="everyone"/>
      <w:r w:rsidRPr="006A7817">
        <w:rPr>
          <w:rFonts w:ascii="Calibri" w:eastAsia="Calibri" w:hAnsi="Calibri" w:cs="Calibri"/>
          <w:color w:val="943634" w:themeColor="accent2" w:themeShade="BF"/>
          <w:sz w:val="22"/>
          <w:szCs w:val="22"/>
          <w:lang w:val="en-US" w:eastAsia="en-US"/>
        </w:rPr>
        <w:t xml:space="preserve">FPSB Europe does not favor a graduated approach. </w:t>
      </w:r>
    </w:p>
    <w:p w14:paraId="3745D855" w14:textId="1684FE1A" w:rsidR="00E43AB4" w:rsidRPr="006A7817" w:rsidRDefault="00E43AB4" w:rsidP="00E43AB4">
      <w:pPr>
        <w:autoSpaceDE w:val="0"/>
        <w:autoSpaceDN w:val="0"/>
        <w:adjustRightInd w:val="0"/>
        <w:rPr>
          <w:rFonts w:ascii="Calibri" w:eastAsia="Calibri" w:hAnsi="Calibri" w:cs="Calibri"/>
          <w:color w:val="943634" w:themeColor="accent2" w:themeShade="BF"/>
          <w:sz w:val="22"/>
          <w:szCs w:val="22"/>
          <w:lang w:val="en-US" w:eastAsia="en-US"/>
        </w:rPr>
      </w:pPr>
      <w:r w:rsidRPr="006A7817">
        <w:rPr>
          <w:rFonts w:ascii="Calibri" w:eastAsia="Calibri" w:hAnsi="Calibri" w:cs="Calibri"/>
          <w:color w:val="943634" w:themeColor="accent2" w:themeShade="BF"/>
          <w:sz w:val="22"/>
          <w:szCs w:val="22"/>
          <w:lang w:val="en-US" w:eastAsia="en-US"/>
        </w:rPr>
        <w:t>A graduated approach could lead to conceptual conflicts in the provision of the KID, given the complexity of the current requirements and of the proposed amendments.</w:t>
      </w:r>
    </w:p>
    <w:p w14:paraId="0714F597" w14:textId="77777777" w:rsidR="006A7817" w:rsidRPr="006A7817" w:rsidRDefault="006A7817" w:rsidP="00E43AB4">
      <w:pPr>
        <w:autoSpaceDE w:val="0"/>
        <w:autoSpaceDN w:val="0"/>
        <w:adjustRightInd w:val="0"/>
        <w:rPr>
          <w:rFonts w:ascii="Calibri" w:eastAsia="Calibri" w:hAnsi="Calibri" w:cs="Calibri"/>
          <w:color w:val="943634" w:themeColor="accent2" w:themeShade="BF"/>
          <w:sz w:val="22"/>
          <w:szCs w:val="22"/>
          <w:lang w:val="en-US" w:eastAsia="en-US"/>
        </w:rPr>
      </w:pPr>
    </w:p>
    <w:p w14:paraId="784D9858" w14:textId="71015F7D" w:rsidR="003E573C" w:rsidRPr="006A7817" w:rsidRDefault="00E43AB4" w:rsidP="0069477B">
      <w:pPr>
        <w:autoSpaceDE w:val="0"/>
        <w:autoSpaceDN w:val="0"/>
        <w:adjustRightInd w:val="0"/>
        <w:rPr>
          <w:rFonts w:ascii="Calibri" w:eastAsia="Calibri" w:hAnsi="Calibri" w:cs="Calibri"/>
          <w:color w:val="943634" w:themeColor="accent2" w:themeShade="BF"/>
          <w:sz w:val="22"/>
          <w:szCs w:val="22"/>
          <w:lang w:val="en-US" w:eastAsia="en-US"/>
        </w:rPr>
      </w:pPr>
      <w:r w:rsidRPr="006A7817">
        <w:rPr>
          <w:rFonts w:ascii="Calibri" w:eastAsia="Calibri" w:hAnsi="Calibri" w:cs="Calibri"/>
          <w:color w:val="943634" w:themeColor="accent2" w:themeShade="BF"/>
          <w:sz w:val="22"/>
          <w:szCs w:val="22"/>
          <w:lang w:val="en-US" w:eastAsia="en-US"/>
        </w:rPr>
        <w:t>It would result in the provision of different KIDs to potential retail customers which could make the assessment and comparison of investment products by retail investors even more difficult.</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154A404D" w14:textId="77777777" w:rsidR="00E43AB4" w:rsidRPr="00E43AB4" w:rsidRDefault="00E43AB4" w:rsidP="00E43AB4">
      <w:pPr>
        <w:pStyle w:val="Default"/>
        <w:jc w:val="both"/>
        <w:rPr>
          <w:rFonts w:asciiTheme="minorHAnsi" w:hAnsiTheme="minorHAnsi" w:cstheme="minorHAnsi"/>
          <w:color w:val="943634" w:themeColor="accent2" w:themeShade="BF"/>
          <w:sz w:val="22"/>
          <w:szCs w:val="22"/>
          <w:lang w:val="en-US"/>
        </w:rPr>
      </w:pPr>
      <w:permStart w:id="209390932" w:edGrp="everyone"/>
      <w:r w:rsidRPr="00E43AB4">
        <w:rPr>
          <w:rFonts w:asciiTheme="minorHAnsi" w:hAnsiTheme="minorHAnsi" w:cstheme="minorHAnsi"/>
          <w:color w:val="943634" w:themeColor="accent2" w:themeShade="BF"/>
          <w:sz w:val="22"/>
          <w:szCs w:val="22"/>
          <w:lang w:val="en-US"/>
        </w:rPr>
        <w:t>In the absence of Level 1 regulatory restrictions, the ESAs should consider standardizing or defining clearer requirements for the assessment and the assignment of recommended holding periods (RHP) to PRIIPs.</w:t>
      </w:r>
    </w:p>
    <w:p w14:paraId="5C918E3B" w14:textId="4218CC23" w:rsidR="00E43AB4" w:rsidRDefault="00E43AB4" w:rsidP="00E43AB4">
      <w:pPr>
        <w:pStyle w:val="Default"/>
        <w:jc w:val="both"/>
        <w:rPr>
          <w:rFonts w:asciiTheme="minorHAnsi" w:hAnsiTheme="minorHAnsi" w:cstheme="minorHAnsi"/>
          <w:color w:val="943634" w:themeColor="accent2" w:themeShade="BF"/>
          <w:sz w:val="22"/>
          <w:szCs w:val="22"/>
          <w:lang w:val="en-US"/>
        </w:rPr>
      </w:pPr>
      <w:r w:rsidRPr="00E43AB4">
        <w:rPr>
          <w:rFonts w:asciiTheme="minorHAnsi" w:hAnsiTheme="minorHAnsi" w:cstheme="minorHAnsi"/>
          <w:color w:val="943634" w:themeColor="accent2" w:themeShade="BF"/>
          <w:sz w:val="22"/>
          <w:szCs w:val="22"/>
          <w:lang w:val="en-US"/>
        </w:rPr>
        <w:t xml:space="preserve">The RHP anchors are as essential elements as performance and costs. </w:t>
      </w:r>
    </w:p>
    <w:p w14:paraId="4C5C4410" w14:textId="77777777" w:rsidR="006A7817" w:rsidRPr="00E43AB4" w:rsidRDefault="006A7817" w:rsidP="00E43AB4">
      <w:pPr>
        <w:pStyle w:val="Default"/>
        <w:jc w:val="both"/>
        <w:rPr>
          <w:rFonts w:asciiTheme="minorHAnsi" w:hAnsiTheme="minorHAnsi" w:cstheme="minorHAnsi"/>
          <w:color w:val="943634" w:themeColor="accent2" w:themeShade="BF"/>
          <w:sz w:val="22"/>
          <w:szCs w:val="22"/>
          <w:lang w:val="en-US"/>
        </w:rPr>
      </w:pPr>
    </w:p>
    <w:p w14:paraId="4EE27C0A" w14:textId="430622BE" w:rsidR="003E573C" w:rsidRPr="0069477B" w:rsidRDefault="00E43AB4" w:rsidP="0069477B">
      <w:pPr>
        <w:pStyle w:val="Default"/>
        <w:jc w:val="both"/>
        <w:rPr>
          <w:rFonts w:asciiTheme="minorHAnsi" w:hAnsiTheme="minorHAnsi" w:cstheme="minorHAnsi"/>
          <w:color w:val="943634" w:themeColor="accent2" w:themeShade="BF"/>
          <w:sz w:val="22"/>
          <w:szCs w:val="22"/>
          <w:lang w:val="en-US"/>
        </w:rPr>
      </w:pPr>
      <w:r w:rsidRPr="00E43AB4">
        <w:rPr>
          <w:rFonts w:asciiTheme="minorHAnsi" w:hAnsiTheme="minorHAnsi" w:cstheme="minorHAnsi"/>
          <w:color w:val="943634" w:themeColor="accent2" w:themeShade="BF"/>
          <w:sz w:val="22"/>
          <w:szCs w:val="22"/>
          <w:lang w:val="en-US"/>
        </w:rPr>
        <w:t>Moreover, given the new proposals in the consultation paper and the absence of any mention by the ESAs of the historical track record needed to estimate performances, when they revised the probabilistic future return scenarios, it is not clear whether the old 5-year period will be used or not.</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543384F4" w:rsidR="003E573C" w:rsidRDefault="00E43AB4" w:rsidP="003E573C">
      <w:pPr>
        <w:rPr>
          <w:rFonts w:cs="Arial"/>
        </w:rPr>
      </w:pPr>
      <w:permStart w:id="418122716" w:edGrp="everyone"/>
      <w:r w:rsidRPr="00E43AB4">
        <w:rPr>
          <w:rFonts w:asciiTheme="minorHAnsi" w:hAnsiTheme="minorHAnsi" w:cstheme="minorHAnsi"/>
          <w:color w:val="943634" w:themeColor="accent2" w:themeShade="BF"/>
          <w:sz w:val="22"/>
          <w:szCs w:val="28"/>
        </w:rPr>
        <w:t>N/A</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5F255275" w14:textId="77777777" w:rsidR="00E43AB4" w:rsidRPr="00E43AB4" w:rsidRDefault="00E43AB4" w:rsidP="00E43AB4">
      <w:pPr>
        <w:pStyle w:val="Default"/>
        <w:jc w:val="both"/>
        <w:rPr>
          <w:rFonts w:asciiTheme="minorHAnsi" w:hAnsiTheme="minorHAnsi" w:cstheme="minorHAnsi"/>
          <w:color w:val="943634" w:themeColor="accent2" w:themeShade="BF"/>
          <w:sz w:val="22"/>
          <w:szCs w:val="22"/>
          <w:lang w:val="en-US"/>
        </w:rPr>
      </w:pPr>
      <w:permStart w:id="569465455" w:edGrp="everyone"/>
      <w:r w:rsidRPr="00E43AB4">
        <w:rPr>
          <w:rFonts w:asciiTheme="minorHAnsi" w:hAnsiTheme="minorHAnsi" w:cstheme="minorHAnsi"/>
          <w:color w:val="943634" w:themeColor="accent2" w:themeShade="BF"/>
          <w:sz w:val="22"/>
          <w:szCs w:val="22"/>
          <w:lang w:val="en-US"/>
        </w:rPr>
        <w:t>The ESAs propose to remove the intermediate scenario (which deals with performance at the middle of the recommended holding period or RHP) and the stress scenario, in the presentation of future performance scenarios in a PRIIPs KID.</w:t>
      </w:r>
    </w:p>
    <w:p w14:paraId="35D93FD3" w14:textId="77777777" w:rsidR="00E43AB4" w:rsidRPr="00E43AB4" w:rsidRDefault="00E43AB4" w:rsidP="00E43AB4">
      <w:pPr>
        <w:pStyle w:val="Default"/>
        <w:jc w:val="both"/>
        <w:rPr>
          <w:rFonts w:asciiTheme="minorHAnsi" w:hAnsiTheme="minorHAnsi" w:cstheme="minorHAnsi"/>
          <w:color w:val="943634" w:themeColor="accent2" w:themeShade="BF"/>
          <w:sz w:val="22"/>
          <w:szCs w:val="22"/>
          <w:lang w:val="en-US"/>
        </w:rPr>
      </w:pPr>
    </w:p>
    <w:p w14:paraId="6A725C03" w14:textId="77777777" w:rsidR="00E43AB4" w:rsidRPr="00E43AB4" w:rsidRDefault="00E43AB4" w:rsidP="00E43AB4">
      <w:pPr>
        <w:pStyle w:val="Default"/>
        <w:jc w:val="both"/>
        <w:rPr>
          <w:rFonts w:asciiTheme="minorHAnsi" w:hAnsiTheme="minorHAnsi" w:cstheme="minorHAnsi"/>
          <w:color w:val="943634" w:themeColor="accent2" w:themeShade="BF"/>
          <w:sz w:val="22"/>
          <w:szCs w:val="22"/>
          <w:lang w:val="en-US"/>
        </w:rPr>
      </w:pPr>
      <w:r w:rsidRPr="00E43AB4">
        <w:rPr>
          <w:rFonts w:asciiTheme="minorHAnsi" w:hAnsiTheme="minorHAnsi" w:cstheme="minorHAnsi"/>
          <w:color w:val="943634" w:themeColor="accent2" w:themeShade="BF"/>
          <w:sz w:val="22"/>
          <w:szCs w:val="22"/>
          <w:lang w:val="en-US"/>
        </w:rPr>
        <w:t xml:space="preserve">Since the RHP is not standardized, the costs and performances of the various products may be incomparable at maturity. For the same reason, the results in intermediate scenarios may also be incomparable. </w:t>
      </w:r>
    </w:p>
    <w:p w14:paraId="4040E18A" w14:textId="77777777" w:rsidR="00E43AB4" w:rsidRPr="00E43AB4" w:rsidRDefault="00E43AB4" w:rsidP="00E43AB4">
      <w:pPr>
        <w:pStyle w:val="Default"/>
        <w:jc w:val="both"/>
        <w:rPr>
          <w:rFonts w:asciiTheme="minorHAnsi" w:hAnsiTheme="minorHAnsi" w:cstheme="minorHAnsi"/>
          <w:color w:val="943634" w:themeColor="accent2" w:themeShade="BF"/>
          <w:sz w:val="22"/>
          <w:szCs w:val="22"/>
          <w:lang w:val="en-US"/>
        </w:rPr>
      </w:pPr>
    </w:p>
    <w:p w14:paraId="14194E0B" w14:textId="77777777" w:rsidR="00E43AB4" w:rsidRPr="00E43AB4" w:rsidRDefault="00E43AB4" w:rsidP="00E43AB4">
      <w:pPr>
        <w:pStyle w:val="Default"/>
        <w:jc w:val="both"/>
        <w:rPr>
          <w:rFonts w:asciiTheme="minorHAnsi" w:hAnsiTheme="minorHAnsi" w:cstheme="minorHAnsi"/>
          <w:color w:val="943634" w:themeColor="accent2" w:themeShade="BF"/>
          <w:sz w:val="22"/>
          <w:szCs w:val="22"/>
          <w:lang w:val="en-US"/>
        </w:rPr>
      </w:pPr>
      <w:r w:rsidRPr="00E43AB4">
        <w:rPr>
          <w:rFonts w:asciiTheme="minorHAnsi" w:hAnsiTheme="minorHAnsi" w:cstheme="minorHAnsi"/>
          <w:color w:val="943634" w:themeColor="accent2" w:themeShade="BF"/>
          <w:sz w:val="22"/>
          <w:szCs w:val="22"/>
          <w:lang w:val="en-US"/>
        </w:rPr>
        <w:t>If the intermediate scenario were kept in the KID, it should be at a standardized point in time for certain types of products:</w:t>
      </w:r>
    </w:p>
    <w:p w14:paraId="29D3A67B" w14:textId="77777777" w:rsidR="00E43AB4" w:rsidRPr="00E43AB4" w:rsidRDefault="00E43AB4" w:rsidP="00E43AB4">
      <w:pPr>
        <w:pStyle w:val="Default"/>
        <w:tabs>
          <w:tab w:val="left" w:pos="284"/>
        </w:tabs>
        <w:jc w:val="both"/>
        <w:rPr>
          <w:rFonts w:asciiTheme="minorHAnsi" w:hAnsiTheme="minorHAnsi" w:cstheme="minorHAnsi"/>
          <w:color w:val="943634" w:themeColor="accent2" w:themeShade="BF"/>
          <w:sz w:val="22"/>
          <w:szCs w:val="22"/>
          <w:lang w:val="en-US"/>
        </w:rPr>
      </w:pPr>
      <w:r w:rsidRPr="00E43AB4">
        <w:rPr>
          <w:rFonts w:asciiTheme="minorHAnsi" w:hAnsiTheme="minorHAnsi" w:cstheme="minorHAnsi"/>
          <w:color w:val="943634" w:themeColor="accent2" w:themeShade="BF"/>
          <w:sz w:val="22"/>
          <w:szCs w:val="22"/>
          <w:lang w:val="en-US"/>
        </w:rPr>
        <w:t>- for “short-term products” (RHP &lt; 1 year), no intermediate scenario;</w:t>
      </w:r>
    </w:p>
    <w:p w14:paraId="37A69626" w14:textId="77777777" w:rsidR="00E43AB4" w:rsidRPr="00E43AB4" w:rsidRDefault="00E43AB4" w:rsidP="00E43AB4">
      <w:pPr>
        <w:pStyle w:val="Default"/>
        <w:tabs>
          <w:tab w:val="left" w:pos="284"/>
        </w:tabs>
        <w:jc w:val="both"/>
        <w:rPr>
          <w:rFonts w:asciiTheme="minorHAnsi" w:hAnsiTheme="minorHAnsi" w:cstheme="minorHAnsi"/>
          <w:color w:val="943634" w:themeColor="accent2" w:themeShade="BF"/>
          <w:sz w:val="22"/>
          <w:szCs w:val="22"/>
          <w:lang w:val="en-US"/>
        </w:rPr>
      </w:pPr>
      <w:r w:rsidRPr="00E43AB4">
        <w:rPr>
          <w:rFonts w:asciiTheme="minorHAnsi" w:hAnsiTheme="minorHAnsi" w:cstheme="minorHAnsi"/>
          <w:color w:val="943634" w:themeColor="accent2" w:themeShade="BF"/>
          <w:sz w:val="22"/>
          <w:szCs w:val="22"/>
          <w:lang w:val="en-US"/>
        </w:rPr>
        <w:t>- for “medium-term products” (1year &lt; RHP &lt;= 10 years), intermediate scenario at 3 years holding point;</w:t>
      </w:r>
    </w:p>
    <w:p w14:paraId="74EF7BA7" w14:textId="0A0E8E81" w:rsidR="003E573C" w:rsidRPr="0069477B" w:rsidRDefault="00E43AB4" w:rsidP="0069477B">
      <w:pPr>
        <w:pStyle w:val="Default"/>
        <w:tabs>
          <w:tab w:val="left" w:pos="284"/>
        </w:tabs>
        <w:jc w:val="both"/>
        <w:rPr>
          <w:rFonts w:asciiTheme="minorHAnsi" w:hAnsiTheme="minorHAnsi" w:cstheme="minorHAnsi"/>
          <w:color w:val="943634" w:themeColor="accent2" w:themeShade="BF"/>
          <w:sz w:val="22"/>
          <w:szCs w:val="22"/>
          <w:lang w:val="en-US"/>
        </w:rPr>
      </w:pPr>
      <w:r w:rsidRPr="00E43AB4">
        <w:rPr>
          <w:rFonts w:asciiTheme="minorHAnsi" w:hAnsiTheme="minorHAnsi" w:cstheme="minorHAnsi"/>
          <w:color w:val="943634" w:themeColor="accent2" w:themeShade="BF"/>
          <w:sz w:val="22"/>
          <w:szCs w:val="22"/>
          <w:lang w:val="en-US"/>
        </w:rPr>
        <w:t>- for “long-term products” (RHP &gt; 10y), intermediate scenario at 10 years holding point.</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404C09D2" w14:textId="4E5A76EB" w:rsidR="0069477B" w:rsidRDefault="0069477B" w:rsidP="0069477B">
      <w:pPr>
        <w:pStyle w:val="Default"/>
        <w:jc w:val="both"/>
        <w:rPr>
          <w:rFonts w:asciiTheme="minorHAnsi" w:hAnsiTheme="minorHAnsi" w:cstheme="minorHAnsi"/>
          <w:color w:val="943634" w:themeColor="accent2" w:themeShade="BF"/>
          <w:sz w:val="22"/>
          <w:szCs w:val="22"/>
          <w:lang w:val="en-US"/>
        </w:rPr>
      </w:pPr>
      <w:permStart w:id="1713528049" w:edGrp="everyone"/>
      <w:r w:rsidRPr="0069477B">
        <w:rPr>
          <w:rFonts w:asciiTheme="minorHAnsi" w:hAnsiTheme="minorHAnsi" w:cstheme="minorHAnsi"/>
          <w:color w:val="943634" w:themeColor="accent2" w:themeShade="BF"/>
          <w:sz w:val="22"/>
          <w:szCs w:val="22"/>
          <w:lang w:val="en-US"/>
        </w:rPr>
        <w:t>The current methodology generates</w:t>
      </w:r>
      <w:r w:rsidRPr="0069477B">
        <w:rPr>
          <w:rFonts w:asciiTheme="minorHAnsi" w:hAnsiTheme="minorHAnsi" w:cstheme="minorHAnsi"/>
          <w:color w:val="D99594" w:themeColor="accent2" w:themeTint="99"/>
          <w:sz w:val="22"/>
          <w:szCs w:val="22"/>
          <w:lang w:val="en-US"/>
        </w:rPr>
        <w:t xml:space="preserve"> </w:t>
      </w:r>
      <w:r w:rsidRPr="0069477B">
        <w:rPr>
          <w:rFonts w:asciiTheme="minorHAnsi" w:hAnsiTheme="minorHAnsi" w:cstheme="minorHAnsi"/>
          <w:color w:val="943634" w:themeColor="accent2" w:themeShade="BF"/>
          <w:sz w:val="22"/>
          <w:szCs w:val="22"/>
          <w:lang w:val="en-US"/>
        </w:rPr>
        <w:t>confusing results for the retail investor: on the one side, the cumulative performance constantly decreases over time; on the other side, the annualized performance (return per year) increases over time.</w:t>
      </w:r>
    </w:p>
    <w:p w14:paraId="7F90FEB7" w14:textId="77777777" w:rsidR="006A7817" w:rsidRPr="0069477B" w:rsidRDefault="006A7817" w:rsidP="0069477B">
      <w:pPr>
        <w:pStyle w:val="Default"/>
        <w:jc w:val="both"/>
        <w:rPr>
          <w:rFonts w:asciiTheme="minorHAnsi" w:hAnsiTheme="minorHAnsi" w:cstheme="minorHAnsi"/>
          <w:color w:val="943634" w:themeColor="accent2" w:themeShade="BF"/>
          <w:sz w:val="22"/>
          <w:szCs w:val="22"/>
          <w:lang w:val="en-US"/>
        </w:rPr>
      </w:pPr>
    </w:p>
    <w:p w14:paraId="20440D29" w14:textId="730F89E0" w:rsidR="003E573C" w:rsidRPr="0069477B" w:rsidRDefault="0069477B" w:rsidP="0069477B">
      <w:pPr>
        <w:pStyle w:val="Default"/>
        <w:jc w:val="both"/>
        <w:rPr>
          <w:rFonts w:asciiTheme="minorHAnsi" w:hAnsiTheme="minorHAnsi" w:cstheme="minorHAnsi"/>
          <w:color w:val="943634" w:themeColor="accent2" w:themeShade="BF"/>
          <w:sz w:val="22"/>
          <w:szCs w:val="22"/>
          <w:lang w:val="en-US"/>
        </w:rPr>
      </w:pPr>
      <w:r w:rsidRPr="0069477B">
        <w:rPr>
          <w:rFonts w:asciiTheme="minorHAnsi" w:hAnsiTheme="minorHAnsi" w:cstheme="minorHAnsi"/>
          <w:color w:val="943634" w:themeColor="accent2" w:themeShade="BF"/>
          <w:sz w:val="22"/>
          <w:szCs w:val="22"/>
          <w:lang w:val="en-US"/>
        </w:rPr>
        <w:t>This methodology should be revised or the stress scenario be replaced by a concise warning narrative: “Under a stress scenario (adverse market conditions, crisis, political intervention), you could lose a significant part or even all of your investment”.</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6D18AD3C" w14:textId="77777777" w:rsidR="0069477B" w:rsidRPr="00F9619E" w:rsidRDefault="0069477B" w:rsidP="0069477B">
      <w:pPr>
        <w:pStyle w:val="Default"/>
        <w:jc w:val="both"/>
        <w:rPr>
          <w:rFonts w:asciiTheme="minorHAnsi" w:hAnsiTheme="minorHAnsi" w:cstheme="minorHAnsi"/>
          <w:color w:val="943634" w:themeColor="accent2" w:themeShade="BF"/>
          <w:sz w:val="22"/>
          <w:szCs w:val="22"/>
          <w:lang w:val="en-US"/>
        </w:rPr>
      </w:pPr>
      <w:permStart w:id="221670941" w:edGrp="everyone"/>
      <w:r w:rsidRPr="00F9619E">
        <w:rPr>
          <w:rFonts w:asciiTheme="minorHAnsi" w:hAnsiTheme="minorHAnsi" w:cstheme="minorHAnsi"/>
          <w:color w:val="943634" w:themeColor="accent2" w:themeShade="BF"/>
          <w:sz w:val="22"/>
          <w:szCs w:val="22"/>
          <w:lang w:val="en-US"/>
        </w:rPr>
        <w:t xml:space="preserve">FPSB Europe agrees that the reference rate should be country specific and </w:t>
      </w:r>
      <w:r>
        <w:rPr>
          <w:rFonts w:asciiTheme="minorHAnsi" w:hAnsiTheme="minorHAnsi" w:cstheme="minorHAnsi"/>
          <w:color w:val="943634" w:themeColor="accent2" w:themeShade="BF"/>
          <w:sz w:val="22"/>
          <w:szCs w:val="22"/>
          <w:lang w:val="en-US"/>
        </w:rPr>
        <w:t>based on</w:t>
      </w:r>
      <w:r w:rsidRPr="00F9619E">
        <w:rPr>
          <w:rFonts w:asciiTheme="minorHAnsi" w:hAnsiTheme="minorHAnsi" w:cstheme="minorHAnsi"/>
          <w:color w:val="943634" w:themeColor="accent2" w:themeShade="BF"/>
          <w:sz w:val="22"/>
          <w:szCs w:val="22"/>
          <w:lang w:val="en-US"/>
        </w:rPr>
        <w:t xml:space="preserve"> the historical prices of sovereign bonds of the domicile, with </w:t>
      </w:r>
      <w:r>
        <w:rPr>
          <w:rFonts w:asciiTheme="minorHAnsi" w:hAnsiTheme="minorHAnsi" w:cstheme="minorHAnsi"/>
          <w:color w:val="943634" w:themeColor="accent2" w:themeShade="BF"/>
          <w:sz w:val="22"/>
          <w:szCs w:val="22"/>
          <w:lang w:val="en-US"/>
        </w:rPr>
        <w:t>the following provisions</w:t>
      </w:r>
      <w:r w:rsidRPr="00F9619E">
        <w:rPr>
          <w:rFonts w:asciiTheme="minorHAnsi" w:hAnsiTheme="minorHAnsi" w:cstheme="minorHAnsi"/>
          <w:color w:val="943634" w:themeColor="accent2" w:themeShade="BF"/>
          <w:sz w:val="22"/>
          <w:szCs w:val="22"/>
          <w:lang w:val="en-US"/>
        </w:rPr>
        <w:t>:</w:t>
      </w:r>
    </w:p>
    <w:p w14:paraId="66BAC6E3" w14:textId="77777777" w:rsidR="0069477B" w:rsidRPr="00F9619E" w:rsidRDefault="0069477B" w:rsidP="0069477B">
      <w:pPr>
        <w:pStyle w:val="Default"/>
        <w:jc w:val="both"/>
        <w:rPr>
          <w:rFonts w:asciiTheme="minorHAnsi" w:hAnsiTheme="minorHAnsi" w:cstheme="minorHAnsi"/>
          <w:color w:val="943634" w:themeColor="accent2" w:themeShade="BF"/>
          <w:sz w:val="22"/>
          <w:szCs w:val="22"/>
          <w:lang w:val="en-US"/>
        </w:rPr>
      </w:pPr>
      <w:r w:rsidRPr="00F9619E">
        <w:rPr>
          <w:rFonts w:asciiTheme="minorHAnsi" w:hAnsiTheme="minorHAnsi" w:cstheme="minorHAnsi"/>
          <w:color w:val="943634" w:themeColor="accent2" w:themeShade="BF"/>
          <w:sz w:val="22"/>
          <w:szCs w:val="22"/>
          <w:lang w:val="en-US"/>
        </w:rPr>
        <w:t>- for securities, the risk-free rate should be estimated only from investment grade (AAA – C) bonds, thus eliminating the risky (speculative) ones; otherwise, there would be an additional risk premium included in the historical price of the fixed instrument;</w:t>
      </w:r>
    </w:p>
    <w:p w14:paraId="266CE87B" w14:textId="77777777" w:rsidR="0069477B" w:rsidRPr="00F9619E" w:rsidRDefault="0069477B" w:rsidP="0069477B">
      <w:pPr>
        <w:pStyle w:val="Default"/>
        <w:jc w:val="both"/>
        <w:rPr>
          <w:rFonts w:asciiTheme="minorHAnsi" w:hAnsiTheme="minorHAnsi" w:cstheme="minorHAnsi"/>
          <w:color w:val="943634" w:themeColor="accent2" w:themeShade="BF"/>
          <w:sz w:val="22"/>
          <w:szCs w:val="22"/>
          <w:lang w:val="en-US"/>
        </w:rPr>
      </w:pPr>
      <w:r w:rsidRPr="00F9619E">
        <w:rPr>
          <w:rFonts w:asciiTheme="minorHAnsi" w:hAnsiTheme="minorHAnsi" w:cstheme="minorHAnsi"/>
          <w:color w:val="943634" w:themeColor="accent2" w:themeShade="BF"/>
          <w:sz w:val="22"/>
          <w:szCs w:val="22"/>
          <w:lang w:val="en-US"/>
        </w:rPr>
        <w:t xml:space="preserve">- for </w:t>
      </w:r>
      <w:r>
        <w:rPr>
          <w:rFonts w:asciiTheme="minorHAnsi" w:hAnsiTheme="minorHAnsi" w:cstheme="minorHAnsi"/>
          <w:color w:val="943634" w:themeColor="accent2" w:themeShade="BF"/>
          <w:sz w:val="22"/>
          <w:szCs w:val="22"/>
          <w:lang w:val="en-US"/>
        </w:rPr>
        <w:t xml:space="preserve">bond </w:t>
      </w:r>
      <w:r w:rsidRPr="00F9619E">
        <w:rPr>
          <w:rFonts w:asciiTheme="minorHAnsi" w:hAnsiTheme="minorHAnsi" w:cstheme="minorHAnsi"/>
          <w:color w:val="943634" w:themeColor="accent2" w:themeShade="BF"/>
          <w:sz w:val="22"/>
          <w:szCs w:val="22"/>
          <w:lang w:val="en-US"/>
        </w:rPr>
        <w:t>indices, the risk-free rate (for EUR-denominated</w:t>
      </w:r>
      <w:r>
        <w:rPr>
          <w:rFonts w:asciiTheme="minorHAnsi" w:hAnsiTheme="minorHAnsi" w:cstheme="minorHAnsi"/>
          <w:color w:val="943634" w:themeColor="accent2" w:themeShade="BF"/>
          <w:sz w:val="22"/>
          <w:szCs w:val="22"/>
          <w:lang w:val="en-US"/>
        </w:rPr>
        <w:t xml:space="preserve"> bonds</w:t>
      </w:r>
      <w:r w:rsidRPr="00F9619E">
        <w:rPr>
          <w:rFonts w:asciiTheme="minorHAnsi" w:hAnsiTheme="minorHAnsi" w:cstheme="minorHAnsi"/>
          <w:color w:val="943634" w:themeColor="accent2" w:themeShade="BF"/>
          <w:sz w:val="22"/>
          <w:szCs w:val="22"/>
          <w:lang w:val="en-US"/>
        </w:rPr>
        <w:t>) should be based on the yield curve published by the European Central Bank for AAA-rated bonds.</w:t>
      </w:r>
      <w:r w:rsidRPr="00F9619E">
        <w:rPr>
          <w:rStyle w:val="Appelnotedebasdep"/>
          <w:rFonts w:asciiTheme="minorHAnsi" w:hAnsiTheme="minorHAnsi" w:cstheme="minorHAnsi"/>
          <w:color w:val="943634" w:themeColor="accent2" w:themeShade="BF"/>
          <w:sz w:val="22"/>
          <w:szCs w:val="22"/>
        </w:rPr>
        <w:footnoteReference w:id="5"/>
      </w:r>
    </w:p>
    <w:p w14:paraId="3B1F6D62" w14:textId="77777777" w:rsidR="0069477B" w:rsidRPr="00F9619E" w:rsidRDefault="0069477B" w:rsidP="0069477B">
      <w:pPr>
        <w:pStyle w:val="Default"/>
        <w:jc w:val="both"/>
        <w:rPr>
          <w:rFonts w:asciiTheme="minorHAnsi" w:hAnsiTheme="minorHAnsi" w:cstheme="minorHAnsi"/>
          <w:color w:val="943634" w:themeColor="accent2" w:themeShade="BF"/>
          <w:sz w:val="22"/>
          <w:szCs w:val="22"/>
          <w:lang w:val="en-US"/>
        </w:rPr>
      </w:pPr>
    </w:p>
    <w:p w14:paraId="0A4368BF" w14:textId="13795BAB" w:rsidR="003E573C" w:rsidRPr="0069477B" w:rsidRDefault="0069477B" w:rsidP="0069477B">
      <w:pPr>
        <w:pStyle w:val="Default"/>
        <w:jc w:val="both"/>
        <w:rPr>
          <w:rFonts w:asciiTheme="minorHAnsi" w:hAnsiTheme="minorHAnsi" w:cstheme="minorHAnsi"/>
          <w:color w:val="943634" w:themeColor="accent2" w:themeShade="BF"/>
          <w:sz w:val="22"/>
          <w:szCs w:val="22"/>
          <w:lang w:val="en-US"/>
        </w:rPr>
      </w:pPr>
      <w:r w:rsidRPr="00F9619E">
        <w:rPr>
          <w:rFonts w:asciiTheme="minorHAnsi" w:hAnsiTheme="minorHAnsi" w:cstheme="minorHAnsi"/>
          <w:color w:val="943634" w:themeColor="accent2" w:themeShade="BF"/>
          <w:sz w:val="22"/>
          <w:szCs w:val="22"/>
          <w:lang w:val="en-US"/>
        </w:rPr>
        <w:t xml:space="preserve">If the securities’ class is cross-border (more than one domicile, </w:t>
      </w:r>
      <w:r>
        <w:rPr>
          <w:rFonts w:asciiTheme="minorHAnsi" w:hAnsiTheme="minorHAnsi" w:cstheme="minorHAnsi"/>
          <w:color w:val="943634" w:themeColor="accent2" w:themeShade="BF"/>
          <w:sz w:val="22"/>
          <w:szCs w:val="22"/>
          <w:lang w:val="en-US"/>
        </w:rPr>
        <w:t>such as</w:t>
      </w:r>
      <w:r w:rsidRPr="00F9619E">
        <w:rPr>
          <w:rFonts w:asciiTheme="minorHAnsi" w:hAnsiTheme="minorHAnsi" w:cstheme="minorHAnsi"/>
          <w:color w:val="943634" w:themeColor="accent2" w:themeShade="BF"/>
          <w:sz w:val="22"/>
          <w:szCs w:val="22"/>
          <w:lang w:val="en-US"/>
        </w:rPr>
        <w:t xml:space="preserve"> for European small-cap</w:t>
      </w:r>
      <w:r>
        <w:rPr>
          <w:rFonts w:asciiTheme="minorHAnsi" w:hAnsiTheme="minorHAnsi" w:cstheme="minorHAnsi"/>
          <w:color w:val="943634" w:themeColor="accent2" w:themeShade="BF"/>
          <w:sz w:val="22"/>
          <w:szCs w:val="22"/>
          <w:lang w:val="en-US"/>
        </w:rPr>
        <w:t xml:space="preserve"> securities, for example</w:t>
      </w:r>
      <w:r w:rsidRPr="00F9619E">
        <w:rPr>
          <w:rFonts w:asciiTheme="minorHAnsi" w:hAnsiTheme="minorHAnsi" w:cstheme="minorHAnsi"/>
          <w:color w:val="943634" w:themeColor="accent2" w:themeShade="BF"/>
          <w:sz w:val="22"/>
          <w:szCs w:val="22"/>
          <w:lang w:val="en-US"/>
        </w:rPr>
        <w:t xml:space="preserve">), then the required rate of return should be either </w:t>
      </w:r>
      <w:r>
        <w:rPr>
          <w:rFonts w:asciiTheme="minorHAnsi" w:hAnsiTheme="minorHAnsi" w:cstheme="minorHAnsi"/>
          <w:color w:val="943634" w:themeColor="accent2" w:themeShade="BF"/>
          <w:sz w:val="22"/>
          <w:szCs w:val="22"/>
          <w:lang w:val="en-US"/>
        </w:rPr>
        <w:t>based on</w:t>
      </w:r>
      <w:r w:rsidRPr="00F9619E">
        <w:rPr>
          <w:rFonts w:asciiTheme="minorHAnsi" w:hAnsiTheme="minorHAnsi" w:cstheme="minorHAnsi"/>
          <w:color w:val="943634" w:themeColor="accent2" w:themeShade="BF"/>
          <w:sz w:val="22"/>
          <w:szCs w:val="22"/>
          <w:lang w:val="en-US"/>
        </w:rPr>
        <w:t xml:space="preserve"> the securities’ index (the ESAs could provide guidelines on </w:t>
      </w:r>
      <w:r>
        <w:rPr>
          <w:rFonts w:asciiTheme="minorHAnsi" w:hAnsiTheme="minorHAnsi" w:cstheme="minorHAnsi"/>
          <w:color w:val="943634" w:themeColor="accent2" w:themeShade="BF"/>
          <w:sz w:val="22"/>
          <w:szCs w:val="22"/>
          <w:lang w:val="en-US"/>
        </w:rPr>
        <w:t>this</w:t>
      </w:r>
      <w:r w:rsidRPr="00F9619E">
        <w:rPr>
          <w:rFonts w:asciiTheme="minorHAnsi" w:hAnsiTheme="minorHAnsi" w:cstheme="minorHAnsi"/>
          <w:color w:val="943634" w:themeColor="accent2" w:themeShade="BF"/>
          <w:sz w:val="22"/>
          <w:szCs w:val="22"/>
          <w:lang w:val="en-US"/>
        </w:rPr>
        <w:t>) or could be the weighted average of the risk-free rates of all domiciles involved plus the risk premi</w:t>
      </w:r>
      <w:r>
        <w:rPr>
          <w:rFonts w:asciiTheme="minorHAnsi" w:hAnsiTheme="minorHAnsi" w:cstheme="minorHAnsi"/>
          <w:color w:val="943634" w:themeColor="accent2" w:themeShade="BF"/>
          <w:sz w:val="22"/>
          <w:szCs w:val="22"/>
          <w:lang w:val="en-US"/>
        </w:rPr>
        <w:t>ums</w:t>
      </w:r>
      <w:r w:rsidRPr="00F9619E">
        <w:rPr>
          <w:rFonts w:asciiTheme="minorHAnsi" w:hAnsiTheme="minorHAnsi" w:cstheme="minorHAnsi"/>
          <w:color w:val="943634" w:themeColor="accent2" w:themeShade="BF"/>
          <w:sz w:val="22"/>
          <w:szCs w:val="22"/>
          <w:lang w:val="en-US"/>
        </w:rPr>
        <w:t xml:space="preserve"> of the securities in all domiciles involved, in order to capture the weighted average of the domiciles’ risk.</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5369E4D0" w14:textId="77777777" w:rsidR="0069477B" w:rsidRDefault="0069477B" w:rsidP="0069477B">
      <w:pPr>
        <w:pStyle w:val="Default"/>
        <w:rPr>
          <w:b/>
          <w:bCs/>
          <w:sz w:val="22"/>
          <w:szCs w:val="22"/>
          <w:lang w:val="en-US"/>
        </w:rPr>
      </w:pPr>
      <w:permStart w:id="610013876" w:edGrp="everyone"/>
    </w:p>
    <w:p w14:paraId="207BD941" w14:textId="77777777" w:rsidR="0069477B" w:rsidRDefault="0069477B" w:rsidP="0069477B">
      <w:pPr>
        <w:pStyle w:val="Default"/>
        <w:rPr>
          <w:b/>
          <w:bCs/>
          <w:sz w:val="22"/>
          <w:szCs w:val="22"/>
          <w:lang w:val="en-US"/>
        </w:rPr>
      </w:pPr>
      <w:r w:rsidRPr="00B576A5">
        <w:rPr>
          <w:rFonts w:ascii="Cambria" w:hAnsi="Cambria" w:cstheme="majorHAnsi"/>
          <w:noProof/>
          <w:sz w:val="16"/>
          <w:szCs w:val="16"/>
          <w:highlight w:val="yellow"/>
        </w:rPr>
        <w:drawing>
          <wp:anchor distT="0" distB="0" distL="114300" distR="114300" simplePos="0" relativeHeight="251659264" behindDoc="1" locked="0" layoutInCell="1" allowOverlap="1" wp14:anchorId="3AAB4CB5" wp14:editId="58AA8B1A">
            <wp:simplePos x="0" y="0"/>
            <wp:positionH relativeFrom="margin">
              <wp:posOffset>23813</wp:posOffset>
            </wp:positionH>
            <wp:positionV relativeFrom="paragraph">
              <wp:posOffset>-440372</wp:posOffset>
            </wp:positionV>
            <wp:extent cx="5000625" cy="2155825"/>
            <wp:effectExtent l="0" t="0" r="9525" b="0"/>
            <wp:wrapThrough wrapText="bothSides">
              <wp:wrapPolygon edited="0">
                <wp:start x="0" y="0"/>
                <wp:lineTo x="0" y="21377"/>
                <wp:lineTo x="21559" y="21377"/>
                <wp:lineTo x="21559" y="0"/>
                <wp:lineTo x="0" y="0"/>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00625" cy="215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4A5659" w14:textId="77777777" w:rsidR="0069477B" w:rsidRDefault="0069477B" w:rsidP="0069477B">
      <w:pPr>
        <w:pStyle w:val="Default"/>
        <w:rPr>
          <w:b/>
          <w:bCs/>
          <w:sz w:val="22"/>
          <w:szCs w:val="22"/>
          <w:lang w:val="en-US"/>
        </w:rPr>
      </w:pPr>
    </w:p>
    <w:p w14:paraId="20DF75F7" w14:textId="77777777" w:rsidR="0069477B" w:rsidRDefault="0069477B" w:rsidP="0069477B">
      <w:pPr>
        <w:pStyle w:val="Default"/>
        <w:rPr>
          <w:b/>
          <w:bCs/>
          <w:sz w:val="22"/>
          <w:szCs w:val="22"/>
          <w:lang w:val="en-US"/>
        </w:rPr>
      </w:pPr>
    </w:p>
    <w:p w14:paraId="37BD5235" w14:textId="77777777" w:rsidR="0069477B" w:rsidRDefault="0069477B" w:rsidP="0069477B">
      <w:pPr>
        <w:pStyle w:val="Default"/>
        <w:rPr>
          <w:b/>
          <w:bCs/>
          <w:sz w:val="22"/>
          <w:szCs w:val="22"/>
          <w:lang w:val="en-US"/>
        </w:rPr>
      </w:pPr>
    </w:p>
    <w:p w14:paraId="75078E0C" w14:textId="77777777" w:rsidR="0069477B" w:rsidRDefault="0069477B" w:rsidP="0069477B">
      <w:pPr>
        <w:pStyle w:val="Default"/>
        <w:rPr>
          <w:b/>
          <w:bCs/>
          <w:sz w:val="22"/>
          <w:szCs w:val="22"/>
          <w:lang w:val="en-US"/>
        </w:rPr>
      </w:pPr>
    </w:p>
    <w:p w14:paraId="3DE1578C" w14:textId="77777777" w:rsidR="0069477B" w:rsidRDefault="0069477B" w:rsidP="0069477B">
      <w:pPr>
        <w:pStyle w:val="Default"/>
        <w:rPr>
          <w:b/>
          <w:bCs/>
          <w:sz w:val="22"/>
          <w:szCs w:val="22"/>
          <w:lang w:val="en-US"/>
        </w:rPr>
      </w:pPr>
    </w:p>
    <w:p w14:paraId="08E87300" w14:textId="77777777" w:rsidR="0069477B" w:rsidRDefault="0069477B" w:rsidP="0069477B">
      <w:pPr>
        <w:pStyle w:val="Default"/>
        <w:rPr>
          <w:b/>
          <w:bCs/>
          <w:sz w:val="22"/>
          <w:szCs w:val="22"/>
          <w:lang w:val="en-US"/>
        </w:rPr>
      </w:pPr>
    </w:p>
    <w:p w14:paraId="58907202" w14:textId="77777777" w:rsidR="0069477B" w:rsidRDefault="0069477B" w:rsidP="0069477B">
      <w:pPr>
        <w:pStyle w:val="Default"/>
        <w:rPr>
          <w:b/>
          <w:bCs/>
          <w:sz w:val="22"/>
          <w:szCs w:val="22"/>
          <w:lang w:val="en-US"/>
        </w:rPr>
      </w:pPr>
    </w:p>
    <w:p w14:paraId="38729A9B" w14:textId="77777777" w:rsidR="0069477B" w:rsidRDefault="0069477B" w:rsidP="0069477B">
      <w:pPr>
        <w:pStyle w:val="Default"/>
        <w:rPr>
          <w:b/>
          <w:bCs/>
          <w:sz w:val="22"/>
          <w:szCs w:val="22"/>
          <w:lang w:val="en-US"/>
        </w:rPr>
      </w:pPr>
    </w:p>
    <w:p w14:paraId="1FA20B05" w14:textId="77777777" w:rsidR="0069477B" w:rsidRDefault="0069477B" w:rsidP="0069477B">
      <w:pPr>
        <w:pStyle w:val="Default"/>
        <w:rPr>
          <w:b/>
          <w:bCs/>
          <w:sz w:val="22"/>
          <w:szCs w:val="22"/>
          <w:lang w:val="en-US"/>
        </w:rPr>
      </w:pPr>
    </w:p>
    <w:p w14:paraId="268D8912" w14:textId="77777777" w:rsidR="0069477B" w:rsidRDefault="0069477B" w:rsidP="0069477B">
      <w:pPr>
        <w:pStyle w:val="Default"/>
        <w:rPr>
          <w:b/>
          <w:bCs/>
          <w:sz w:val="22"/>
          <w:szCs w:val="22"/>
          <w:lang w:val="en-US"/>
        </w:rPr>
      </w:pPr>
    </w:p>
    <w:p w14:paraId="72670E17"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p>
    <w:p w14:paraId="3BCEC1B1"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p>
    <w:p w14:paraId="6B330B93"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p>
    <w:p w14:paraId="1ED0519B" w14:textId="21B261A7" w:rsidR="0069477B" w:rsidRDefault="0069477B" w:rsidP="0069477B">
      <w:pPr>
        <w:pStyle w:val="Default"/>
        <w:jc w:val="both"/>
        <w:rPr>
          <w:rFonts w:asciiTheme="minorHAnsi" w:hAnsiTheme="minorHAnsi" w:cstheme="minorHAnsi"/>
          <w:color w:val="943634" w:themeColor="accent2" w:themeShade="BF"/>
          <w:sz w:val="22"/>
          <w:szCs w:val="22"/>
          <w:lang w:val="en-US"/>
        </w:rPr>
      </w:pPr>
      <w:r w:rsidRPr="0069477B">
        <w:rPr>
          <w:rFonts w:asciiTheme="minorHAnsi" w:hAnsiTheme="minorHAnsi" w:cstheme="minorHAnsi"/>
          <w:color w:val="943634" w:themeColor="accent2" w:themeShade="BF"/>
          <w:sz w:val="22"/>
          <w:szCs w:val="22"/>
          <w:lang w:val="en-US"/>
        </w:rPr>
        <w:t>Compared to the current one, the new methodological approach brings a “gain in terms of consistency”, as it reduces the frequency of periods when the value of actual performance is outside the range [performance in the unfavorable scenario, performance in the favorable scenario].</w:t>
      </w:r>
    </w:p>
    <w:p w14:paraId="5358F904" w14:textId="77777777" w:rsidR="006A7817" w:rsidRPr="0069477B" w:rsidRDefault="006A7817" w:rsidP="0069477B">
      <w:pPr>
        <w:pStyle w:val="Default"/>
        <w:jc w:val="both"/>
        <w:rPr>
          <w:rFonts w:asciiTheme="minorHAnsi" w:hAnsiTheme="minorHAnsi" w:cstheme="minorHAnsi"/>
          <w:color w:val="943634" w:themeColor="accent2" w:themeShade="BF"/>
          <w:sz w:val="22"/>
          <w:szCs w:val="22"/>
          <w:lang w:val="en-US"/>
        </w:rPr>
      </w:pPr>
    </w:p>
    <w:p w14:paraId="3D5354FE" w14:textId="20202567" w:rsidR="003E573C" w:rsidRPr="0069477B" w:rsidRDefault="0069477B" w:rsidP="0069477B">
      <w:pPr>
        <w:pStyle w:val="Default"/>
        <w:jc w:val="both"/>
        <w:rPr>
          <w:rFonts w:asciiTheme="minorHAnsi" w:hAnsiTheme="minorHAnsi" w:cstheme="minorHAnsi"/>
          <w:color w:val="943634" w:themeColor="accent2" w:themeShade="BF"/>
          <w:sz w:val="22"/>
          <w:szCs w:val="22"/>
          <w:lang w:val="en-US"/>
        </w:rPr>
      </w:pPr>
      <w:r w:rsidRPr="0069477B">
        <w:rPr>
          <w:rFonts w:asciiTheme="minorHAnsi" w:hAnsiTheme="minorHAnsi" w:cstheme="minorHAnsi"/>
          <w:color w:val="943634" w:themeColor="accent2" w:themeShade="BF"/>
          <w:sz w:val="22"/>
          <w:szCs w:val="22"/>
          <w:lang w:val="en-US"/>
        </w:rPr>
        <w:t xml:space="preserve">However, the methodology uses the prices/returns of asset classes the PRIIP invests in rather than the historical prices/returns of the PRIIP itself. Consequently, two products investing in the same index (asset class) will show almost the same return at the RHP point. The approach results in a loss of product comparability possibilities for the retail investor. </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03BA7EA1" w14:textId="638E6602" w:rsidR="0069477B" w:rsidRDefault="0069477B" w:rsidP="0069477B">
      <w:pPr>
        <w:pStyle w:val="Default"/>
        <w:jc w:val="both"/>
        <w:rPr>
          <w:rFonts w:asciiTheme="minorHAnsi" w:hAnsiTheme="minorHAnsi" w:cstheme="minorHAnsi"/>
          <w:color w:val="943634" w:themeColor="accent2" w:themeShade="BF"/>
          <w:sz w:val="22"/>
          <w:szCs w:val="22"/>
          <w:lang w:val="en-US"/>
        </w:rPr>
      </w:pPr>
      <w:permStart w:id="790175202" w:edGrp="everyone"/>
      <w:r w:rsidRPr="0069477B">
        <w:rPr>
          <w:rFonts w:asciiTheme="minorHAnsi" w:hAnsiTheme="minorHAnsi" w:cstheme="minorHAnsi"/>
          <w:color w:val="943634" w:themeColor="accent2" w:themeShade="BF"/>
          <w:sz w:val="22"/>
          <w:szCs w:val="22"/>
          <w:lang w:val="en-US"/>
        </w:rPr>
        <w:t>The expected dividend rates should be estimated from the full price history available for each security class. As it is observed, the higher the number of price/return observations, the lower the standard deviation (and, thus, the standard error band) in the estimated return distribution.</w:t>
      </w:r>
    </w:p>
    <w:p w14:paraId="68EC3E01" w14:textId="77777777" w:rsidR="006A7817" w:rsidRPr="0069477B" w:rsidRDefault="006A7817" w:rsidP="0069477B">
      <w:pPr>
        <w:pStyle w:val="Default"/>
        <w:jc w:val="both"/>
        <w:rPr>
          <w:rFonts w:asciiTheme="minorHAnsi" w:hAnsiTheme="minorHAnsi" w:cstheme="minorHAnsi"/>
          <w:color w:val="943634" w:themeColor="accent2" w:themeShade="BF"/>
          <w:sz w:val="22"/>
          <w:szCs w:val="22"/>
          <w:lang w:val="en-US"/>
        </w:rPr>
      </w:pPr>
    </w:p>
    <w:p w14:paraId="5C070307" w14:textId="316DAD53" w:rsidR="003E573C" w:rsidRPr="0069477B" w:rsidRDefault="0069477B" w:rsidP="0069477B">
      <w:pPr>
        <w:pStyle w:val="Default"/>
        <w:jc w:val="both"/>
        <w:rPr>
          <w:rFonts w:asciiTheme="minorHAnsi" w:hAnsiTheme="minorHAnsi" w:cstheme="minorHAnsi"/>
          <w:color w:val="943634" w:themeColor="accent2" w:themeShade="BF"/>
          <w:sz w:val="22"/>
          <w:szCs w:val="22"/>
          <w:lang w:val="en-US"/>
        </w:rPr>
      </w:pPr>
      <w:r w:rsidRPr="0069477B">
        <w:rPr>
          <w:rFonts w:asciiTheme="minorHAnsi" w:hAnsiTheme="minorHAnsi" w:cstheme="minorHAnsi"/>
          <w:color w:val="943634" w:themeColor="accent2" w:themeShade="BF"/>
          <w:sz w:val="22"/>
          <w:szCs w:val="22"/>
          <w:lang w:val="en-US"/>
        </w:rPr>
        <w:t>The ESAs should require PRIIP designers to exhibit the full price/return history of the securities for which they are estimating returns.</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0E1D370" w:rsidR="003E573C" w:rsidRDefault="0069477B" w:rsidP="003E573C">
      <w:pPr>
        <w:rPr>
          <w:rFonts w:cs="Arial"/>
        </w:rPr>
      </w:pPr>
      <w:permStart w:id="800330460" w:edGrp="everyone"/>
      <w:r w:rsidRPr="0069477B">
        <w:rPr>
          <w:rFonts w:cs="Arial"/>
          <w:color w:val="943634" w:themeColor="accent2" w:themeShade="BF"/>
        </w:rPr>
        <w:t>N/A</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34ADAD03" w14:textId="77777777" w:rsidR="0069477B" w:rsidRDefault="0069477B" w:rsidP="0069477B">
      <w:pPr>
        <w:rPr>
          <w:rFonts w:cs="Arial"/>
        </w:rPr>
      </w:pPr>
      <w:permStart w:id="1179406826" w:edGrp="everyone"/>
      <w:r w:rsidRPr="0069477B">
        <w:rPr>
          <w:rFonts w:cs="Arial"/>
          <w:color w:val="943634" w:themeColor="accent2" w:themeShade="BF"/>
        </w:rPr>
        <w:t>N/A</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05D31287" w14:textId="77777777" w:rsidR="0069477B" w:rsidRDefault="0069477B" w:rsidP="0069477B">
      <w:pPr>
        <w:rPr>
          <w:rFonts w:cs="Arial"/>
        </w:rPr>
      </w:pPr>
      <w:permStart w:id="1646396141" w:edGrp="everyone"/>
      <w:r w:rsidRPr="0069477B">
        <w:rPr>
          <w:rFonts w:cs="Arial"/>
          <w:color w:val="943634" w:themeColor="accent2" w:themeShade="BF"/>
        </w:rPr>
        <w:t>N/A</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0D7A6EA2" w14:textId="77777777" w:rsidR="0069477B" w:rsidRDefault="0069477B" w:rsidP="0069477B">
      <w:pPr>
        <w:rPr>
          <w:rFonts w:cs="Arial"/>
        </w:rPr>
      </w:pPr>
      <w:permStart w:id="1271138379" w:edGrp="everyone"/>
      <w:r w:rsidRPr="0069477B">
        <w:rPr>
          <w:rFonts w:cs="Arial"/>
          <w:color w:val="943634" w:themeColor="accent2" w:themeShade="BF"/>
        </w:rPr>
        <w:t>N/A</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2CF2E910" w14:textId="77777777" w:rsidR="0069477B" w:rsidRDefault="0069477B" w:rsidP="0069477B">
      <w:pPr>
        <w:rPr>
          <w:rFonts w:cs="Arial"/>
        </w:rPr>
      </w:pPr>
      <w:permStart w:id="739535953" w:edGrp="everyone"/>
      <w:r w:rsidRPr="0069477B">
        <w:rPr>
          <w:rFonts w:cs="Arial"/>
          <w:color w:val="943634" w:themeColor="accent2" w:themeShade="BF"/>
        </w:rPr>
        <w:t>N/A</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7DE3C4BB" w14:textId="77777777" w:rsidR="0069477B" w:rsidRDefault="0069477B" w:rsidP="0069477B">
      <w:pPr>
        <w:rPr>
          <w:rFonts w:cs="Arial"/>
        </w:rPr>
      </w:pPr>
      <w:permStart w:id="225396737" w:edGrp="everyone"/>
      <w:r w:rsidRPr="0069477B">
        <w:rPr>
          <w:rFonts w:cs="Arial"/>
          <w:color w:val="943634" w:themeColor="accent2" w:themeShade="BF"/>
        </w:rPr>
        <w:t>N/A</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25FF236F" w14:textId="77777777" w:rsidR="0069477B" w:rsidRDefault="0069477B" w:rsidP="0069477B">
      <w:pPr>
        <w:rPr>
          <w:rFonts w:cs="Arial"/>
        </w:rPr>
      </w:pPr>
      <w:permStart w:id="1687822303" w:edGrp="everyone"/>
      <w:r w:rsidRPr="0069477B">
        <w:rPr>
          <w:rFonts w:cs="Arial"/>
          <w:color w:val="943634" w:themeColor="accent2" w:themeShade="BF"/>
        </w:rPr>
        <w:t>N/A</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22EAB47C" w14:textId="77777777" w:rsidR="0069477B" w:rsidRPr="0069477B" w:rsidRDefault="0069477B" w:rsidP="0069477B">
      <w:pPr>
        <w:pStyle w:val="Default"/>
        <w:jc w:val="both"/>
        <w:rPr>
          <w:rFonts w:asciiTheme="minorHAnsi" w:hAnsiTheme="minorHAnsi" w:cstheme="minorHAnsi"/>
          <w:color w:val="943634" w:themeColor="accent2" w:themeShade="BF"/>
          <w:sz w:val="22"/>
          <w:szCs w:val="22"/>
          <w:lang w:val="en-US"/>
        </w:rPr>
      </w:pPr>
      <w:permStart w:id="669663577" w:edGrp="everyone"/>
      <w:r w:rsidRPr="0069477B">
        <w:rPr>
          <w:rFonts w:asciiTheme="minorHAnsi" w:hAnsiTheme="minorHAnsi" w:cstheme="minorHAnsi"/>
          <w:color w:val="943634" w:themeColor="accent2" w:themeShade="BF"/>
          <w:sz w:val="22"/>
          <w:szCs w:val="22"/>
          <w:lang w:val="en-US"/>
        </w:rPr>
        <w:t>This approach could be discussed further in view of its contribution to simplicity and transparency, in order to identify which drawbacks are associated to its use.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651A67E5" w:rsidR="003E573C" w:rsidRPr="0069477B" w:rsidRDefault="0069477B" w:rsidP="003E573C">
      <w:pPr>
        <w:rPr>
          <w:rFonts w:cs="Arial"/>
          <w:color w:val="943634" w:themeColor="accent2" w:themeShade="BF"/>
        </w:rPr>
      </w:pPr>
      <w:permStart w:id="806708611" w:edGrp="everyone"/>
      <w:r w:rsidRPr="0069477B">
        <w:rPr>
          <w:rFonts w:cs="Arial"/>
          <w:color w:val="943634" w:themeColor="accent2" w:themeShade="BF"/>
        </w:rPr>
        <w:t>N/A</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00CC8FDD" w:rsidR="003E573C" w:rsidRPr="0069477B" w:rsidRDefault="0069477B" w:rsidP="003E573C">
      <w:pPr>
        <w:rPr>
          <w:rFonts w:cs="Arial"/>
          <w:color w:val="943634" w:themeColor="accent2" w:themeShade="BF"/>
        </w:rPr>
      </w:pPr>
      <w:permStart w:id="2245015" w:edGrp="everyone"/>
      <w:r w:rsidRPr="0069477B">
        <w:rPr>
          <w:rFonts w:cs="Arial"/>
          <w:color w:val="943634" w:themeColor="accent2" w:themeShade="BF"/>
        </w:rPr>
        <w:t>N/A</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573F0B96" w14:textId="603E5669" w:rsidR="0069477B" w:rsidRDefault="0069477B" w:rsidP="0069477B">
      <w:pPr>
        <w:pStyle w:val="Default"/>
        <w:jc w:val="both"/>
        <w:rPr>
          <w:rFonts w:asciiTheme="minorHAnsi" w:hAnsiTheme="minorHAnsi" w:cstheme="minorHAnsi"/>
          <w:color w:val="943634" w:themeColor="accent2" w:themeShade="BF"/>
          <w:sz w:val="22"/>
          <w:szCs w:val="22"/>
          <w:lang w:val="en-US"/>
        </w:rPr>
      </w:pPr>
      <w:bookmarkStart w:id="2" w:name="_Hlk29399255"/>
      <w:permStart w:id="1182486711" w:edGrp="everyone"/>
      <w:r w:rsidRPr="00733EFB">
        <w:rPr>
          <w:rFonts w:asciiTheme="minorHAnsi" w:hAnsiTheme="minorHAnsi" w:cstheme="minorHAnsi"/>
          <w:color w:val="943634" w:themeColor="accent2" w:themeShade="BF"/>
          <w:sz w:val="22"/>
          <w:szCs w:val="22"/>
          <w:lang w:val="en-US"/>
        </w:rPr>
        <w:t>As the KID is supposed to be simple, understandable, and concise</w:t>
      </w:r>
      <w:r>
        <w:rPr>
          <w:rFonts w:asciiTheme="minorHAnsi" w:hAnsiTheme="minorHAnsi" w:cstheme="minorHAnsi"/>
          <w:color w:val="943634" w:themeColor="accent2" w:themeShade="BF"/>
          <w:sz w:val="22"/>
          <w:szCs w:val="22"/>
          <w:lang w:val="en-US"/>
        </w:rPr>
        <w:t xml:space="preserve"> document that provides </w:t>
      </w:r>
      <w:r w:rsidRPr="00CE4238">
        <w:rPr>
          <w:rFonts w:asciiTheme="minorHAnsi" w:hAnsiTheme="minorHAnsi" w:cstheme="minorHAnsi"/>
          <w:color w:val="943634" w:themeColor="accent2" w:themeShade="BF"/>
          <w:sz w:val="22"/>
          <w:szCs w:val="22"/>
          <w:lang w:val="en-US"/>
        </w:rPr>
        <w:t>key information to help retail investor</w:t>
      </w:r>
      <w:r>
        <w:rPr>
          <w:rFonts w:asciiTheme="minorHAnsi" w:hAnsiTheme="minorHAnsi" w:cstheme="minorHAnsi"/>
          <w:color w:val="943634" w:themeColor="accent2" w:themeShade="BF"/>
          <w:sz w:val="22"/>
          <w:szCs w:val="22"/>
          <w:lang w:val="en-US"/>
        </w:rPr>
        <w:t>s</w:t>
      </w:r>
      <w:r w:rsidRPr="00CE4238">
        <w:rPr>
          <w:rFonts w:asciiTheme="minorHAnsi" w:hAnsiTheme="minorHAnsi" w:cstheme="minorHAnsi"/>
          <w:color w:val="943634" w:themeColor="accent2" w:themeShade="BF"/>
          <w:sz w:val="22"/>
          <w:szCs w:val="22"/>
          <w:lang w:val="en-US"/>
        </w:rPr>
        <w:t xml:space="preserve"> understand the main benefits and risks of a PRIIP</w:t>
      </w:r>
      <w:r w:rsidRPr="00733EFB">
        <w:rPr>
          <w:rFonts w:asciiTheme="minorHAnsi" w:hAnsiTheme="minorHAnsi" w:cstheme="minorHAnsi"/>
          <w:color w:val="943634" w:themeColor="accent2" w:themeShade="BF"/>
          <w:sz w:val="22"/>
          <w:szCs w:val="22"/>
          <w:lang w:val="en-US"/>
        </w:rPr>
        <w:t>, methodologies simpler than the probabilistic scenarios approach deserve to be explored.</w:t>
      </w:r>
    </w:p>
    <w:p w14:paraId="5285F6C0" w14:textId="77777777" w:rsidR="006A7817" w:rsidRPr="00733EFB" w:rsidRDefault="006A7817" w:rsidP="0069477B">
      <w:pPr>
        <w:pStyle w:val="Default"/>
        <w:jc w:val="both"/>
        <w:rPr>
          <w:rFonts w:asciiTheme="minorHAnsi" w:hAnsiTheme="minorHAnsi" w:cstheme="minorHAnsi"/>
          <w:color w:val="943634" w:themeColor="accent2" w:themeShade="BF"/>
          <w:sz w:val="22"/>
          <w:szCs w:val="22"/>
          <w:lang w:val="en-US"/>
        </w:rPr>
      </w:pPr>
    </w:p>
    <w:bookmarkEnd w:id="2"/>
    <w:p w14:paraId="28AC58F4" w14:textId="77777777" w:rsidR="0069477B" w:rsidRPr="00C343AE" w:rsidRDefault="0069477B" w:rsidP="0069477B">
      <w:pPr>
        <w:pStyle w:val="Default"/>
        <w:jc w:val="both"/>
        <w:rPr>
          <w:rFonts w:asciiTheme="minorHAnsi" w:hAnsiTheme="minorHAnsi" w:cstheme="minorHAnsi"/>
          <w:color w:val="943634" w:themeColor="accent2" w:themeShade="BF"/>
          <w:sz w:val="22"/>
          <w:szCs w:val="22"/>
          <w:lang w:val="en-US"/>
        </w:rPr>
      </w:pPr>
      <w:r w:rsidRPr="00C343AE">
        <w:rPr>
          <w:rFonts w:asciiTheme="minorHAnsi" w:hAnsiTheme="minorHAnsi" w:cstheme="minorHAnsi"/>
          <w:color w:val="943634" w:themeColor="accent2" w:themeShade="BF"/>
          <w:sz w:val="22"/>
          <w:szCs w:val="22"/>
          <w:lang w:val="en-US"/>
        </w:rPr>
        <w:t>Probabilistic scenarios of returns estimation are somewhat misleading since</w:t>
      </w:r>
      <w:r>
        <w:rPr>
          <w:rFonts w:asciiTheme="minorHAnsi" w:hAnsiTheme="minorHAnsi" w:cstheme="minorHAnsi"/>
          <w:color w:val="943634" w:themeColor="accent2" w:themeShade="BF"/>
          <w:sz w:val="22"/>
          <w:szCs w:val="22"/>
          <w:lang w:val="en-US"/>
        </w:rPr>
        <w:t>:</w:t>
      </w:r>
    </w:p>
    <w:p w14:paraId="76DD4BD9"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 xml:space="preserve">- </w:t>
      </w:r>
      <w:r w:rsidRPr="00733EFB">
        <w:rPr>
          <w:rFonts w:asciiTheme="minorHAnsi" w:hAnsiTheme="minorHAnsi" w:cstheme="minorHAnsi"/>
          <w:color w:val="943634" w:themeColor="accent2" w:themeShade="BF"/>
          <w:sz w:val="22"/>
          <w:szCs w:val="22"/>
          <w:lang w:val="en-US"/>
        </w:rPr>
        <w:t xml:space="preserve"> </w:t>
      </w:r>
      <w:r>
        <w:rPr>
          <w:rFonts w:asciiTheme="minorHAnsi" w:hAnsiTheme="minorHAnsi" w:cstheme="minorHAnsi"/>
          <w:color w:val="943634" w:themeColor="accent2" w:themeShade="BF"/>
          <w:sz w:val="22"/>
          <w:szCs w:val="22"/>
          <w:lang w:val="en-US"/>
        </w:rPr>
        <w:t>they</w:t>
      </w:r>
      <w:r w:rsidRPr="00733EFB">
        <w:rPr>
          <w:rFonts w:asciiTheme="minorHAnsi" w:hAnsiTheme="minorHAnsi" w:cstheme="minorHAnsi"/>
          <w:color w:val="943634" w:themeColor="accent2" w:themeShade="BF"/>
          <w:sz w:val="22"/>
          <w:szCs w:val="22"/>
          <w:lang w:val="en-US"/>
        </w:rPr>
        <w:t xml:space="preserve"> build on past returns without saying it</w:t>
      </w:r>
      <w:r>
        <w:rPr>
          <w:rFonts w:asciiTheme="minorHAnsi" w:hAnsiTheme="minorHAnsi" w:cstheme="minorHAnsi"/>
          <w:color w:val="943634" w:themeColor="accent2" w:themeShade="BF"/>
          <w:sz w:val="22"/>
          <w:szCs w:val="22"/>
          <w:lang w:val="en-US"/>
        </w:rPr>
        <w:t>;</w:t>
      </w:r>
    </w:p>
    <w:p w14:paraId="22B3C16A"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 xml:space="preserve">- as built and presented, investors see these performance scenarios as predictive; </w:t>
      </w:r>
    </w:p>
    <w:p w14:paraId="650FC377"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 d</w:t>
      </w:r>
      <w:r w:rsidRPr="00733EFB">
        <w:rPr>
          <w:rFonts w:asciiTheme="minorHAnsi" w:hAnsiTheme="minorHAnsi" w:cstheme="minorHAnsi"/>
          <w:color w:val="943634" w:themeColor="accent2" w:themeShade="BF"/>
          <w:sz w:val="22"/>
          <w:szCs w:val="22"/>
          <w:lang w:val="en-US"/>
        </w:rPr>
        <w:t>isclosing estimated</w:t>
      </w:r>
      <w:r>
        <w:rPr>
          <w:rFonts w:asciiTheme="minorHAnsi" w:hAnsiTheme="minorHAnsi" w:cstheme="minorHAnsi"/>
          <w:color w:val="943634" w:themeColor="accent2" w:themeShade="BF"/>
          <w:sz w:val="22"/>
          <w:szCs w:val="22"/>
          <w:lang w:val="en-US"/>
        </w:rPr>
        <w:t xml:space="preserve"> return</w:t>
      </w:r>
      <w:r w:rsidRPr="00733EFB">
        <w:rPr>
          <w:rFonts w:asciiTheme="minorHAnsi" w:hAnsiTheme="minorHAnsi" w:cstheme="minorHAnsi"/>
          <w:color w:val="943634" w:themeColor="accent2" w:themeShade="BF"/>
          <w:sz w:val="22"/>
          <w:szCs w:val="22"/>
          <w:lang w:val="en-US"/>
        </w:rPr>
        <w:t xml:space="preserve"> figures at the recommended holding period (RHP)</w:t>
      </w:r>
      <w:r>
        <w:rPr>
          <w:rFonts w:asciiTheme="minorHAnsi" w:hAnsiTheme="minorHAnsi" w:cstheme="minorHAnsi"/>
          <w:color w:val="943634" w:themeColor="accent2" w:themeShade="BF"/>
          <w:sz w:val="22"/>
          <w:szCs w:val="22"/>
          <w:lang w:val="en-US"/>
        </w:rPr>
        <w:t xml:space="preserve"> point</w:t>
      </w:r>
      <w:r w:rsidRPr="00733EFB">
        <w:rPr>
          <w:rFonts w:asciiTheme="minorHAnsi" w:hAnsiTheme="minorHAnsi" w:cstheme="minorHAnsi"/>
          <w:color w:val="943634" w:themeColor="accent2" w:themeShade="BF"/>
          <w:sz w:val="22"/>
          <w:szCs w:val="22"/>
          <w:lang w:val="en-US"/>
        </w:rPr>
        <w:t xml:space="preserve"> has a</w:t>
      </w:r>
      <w:r>
        <w:rPr>
          <w:rFonts w:asciiTheme="minorHAnsi" w:hAnsiTheme="minorHAnsi" w:cstheme="minorHAnsi"/>
          <w:color w:val="943634" w:themeColor="accent2" w:themeShade="BF"/>
          <w:sz w:val="22"/>
          <w:szCs w:val="22"/>
          <w:lang w:val="en-US"/>
        </w:rPr>
        <w:t xml:space="preserve"> </w:t>
      </w:r>
      <w:r w:rsidRPr="00733EFB">
        <w:rPr>
          <w:rFonts w:asciiTheme="minorHAnsi" w:hAnsiTheme="minorHAnsi" w:cstheme="minorHAnsi"/>
          <w:color w:val="943634" w:themeColor="accent2" w:themeShade="BF"/>
          <w:sz w:val="22"/>
          <w:szCs w:val="22"/>
          <w:lang w:val="en-US"/>
        </w:rPr>
        <w:t xml:space="preserve">high potential </w:t>
      </w:r>
      <w:r>
        <w:rPr>
          <w:rFonts w:asciiTheme="minorHAnsi" w:hAnsiTheme="minorHAnsi" w:cstheme="minorHAnsi"/>
          <w:color w:val="943634" w:themeColor="accent2" w:themeShade="BF"/>
          <w:sz w:val="22"/>
          <w:szCs w:val="22"/>
          <w:lang w:val="en-US"/>
        </w:rPr>
        <w:t xml:space="preserve">for </w:t>
      </w:r>
      <w:r w:rsidRPr="00733EFB">
        <w:rPr>
          <w:rFonts w:asciiTheme="minorHAnsi" w:hAnsiTheme="minorHAnsi" w:cstheme="minorHAnsi"/>
          <w:color w:val="943634" w:themeColor="accent2" w:themeShade="BF"/>
          <w:sz w:val="22"/>
          <w:szCs w:val="22"/>
          <w:lang w:val="en-US"/>
        </w:rPr>
        <w:t xml:space="preserve">giving rise to false expectations </w:t>
      </w:r>
      <w:r>
        <w:rPr>
          <w:rFonts w:asciiTheme="minorHAnsi" w:hAnsiTheme="minorHAnsi" w:cstheme="minorHAnsi"/>
          <w:color w:val="943634" w:themeColor="accent2" w:themeShade="BF"/>
          <w:sz w:val="22"/>
          <w:szCs w:val="22"/>
          <w:lang w:val="en-US"/>
        </w:rPr>
        <w:t xml:space="preserve">among </w:t>
      </w:r>
      <w:r w:rsidRPr="00733EFB">
        <w:rPr>
          <w:rFonts w:asciiTheme="minorHAnsi" w:hAnsiTheme="minorHAnsi" w:cstheme="minorHAnsi"/>
          <w:color w:val="943634" w:themeColor="accent2" w:themeShade="BF"/>
          <w:sz w:val="22"/>
          <w:szCs w:val="22"/>
          <w:lang w:val="en-US"/>
        </w:rPr>
        <w:t>retail investors</w:t>
      </w:r>
      <w:r>
        <w:rPr>
          <w:rFonts w:asciiTheme="minorHAnsi" w:hAnsiTheme="minorHAnsi" w:cstheme="minorHAnsi"/>
          <w:color w:val="943634" w:themeColor="accent2" w:themeShade="BF"/>
          <w:sz w:val="22"/>
          <w:szCs w:val="22"/>
          <w:lang w:val="en-US"/>
        </w:rPr>
        <w:t>.</w:t>
      </w:r>
      <w:r w:rsidRPr="00733EFB">
        <w:rPr>
          <w:rFonts w:asciiTheme="minorHAnsi" w:hAnsiTheme="minorHAnsi" w:cstheme="minorHAnsi"/>
          <w:color w:val="943634" w:themeColor="accent2" w:themeShade="BF"/>
          <w:sz w:val="22"/>
          <w:szCs w:val="22"/>
          <w:lang w:val="en-US"/>
        </w:rPr>
        <w:t xml:space="preserve"> </w:t>
      </w:r>
    </w:p>
    <w:p w14:paraId="28CAA2C5"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p>
    <w:p w14:paraId="00D320AF"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Those scenarios are not easy</w:t>
      </w:r>
      <w:r w:rsidRPr="00733EFB">
        <w:rPr>
          <w:rFonts w:asciiTheme="minorHAnsi" w:hAnsiTheme="minorHAnsi" w:cstheme="minorHAnsi"/>
          <w:color w:val="943634" w:themeColor="accent2" w:themeShade="BF"/>
          <w:sz w:val="22"/>
          <w:szCs w:val="22"/>
          <w:lang w:val="en-US"/>
        </w:rPr>
        <w:t xml:space="preserve"> to couple with historical </w:t>
      </w:r>
      <w:r>
        <w:rPr>
          <w:rFonts w:asciiTheme="minorHAnsi" w:hAnsiTheme="minorHAnsi" w:cstheme="minorHAnsi"/>
          <w:color w:val="943634" w:themeColor="accent2" w:themeShade="BF"/>
          <w:sz w:val="22"/>
          <w:szCs w:val="22"/>
          <w:lang w:val="en-US"/>
        </w:rPr>
        <w:t xml:space="preserve">actual </w:t>
      </w:r>
      <w:r w:rsidRPr="00733EFB">
        <w:rPr>
          <w:rFonts w:asciiTheme="minorHAnsi" w:hAnsiTheme="minorHAnsi" w:cstheme="minorHAnsi"/>
          <w:color w:val="943634" w:themeColor="accent2" w:themeShade="BF"/>
          <w:sz w:val="22"/>
          <w:szCs w:val="22"/>
          <w:lang w:val="en-US"/>
        </w:rPr>
        <w:t>performance</w:t>
      </w:r>
      <w:r>
        <w:rPr>
          <w:rFonts w:asciiTheme="minorHAnsi" w:hAnsiTheme="minorHAnsi" w:cstheme="minorHAnsi"/>
          <w:color w:val="943634" w:themeColor="accent2" w:themeShade="BF"/>
          <w:sz w:val="22"/>
          <w:szCs w:val="22"/>
          <w:lang w:val="en-US"/>
        </w:rPr>
        <w:t xml:space="preserve"> (which we think useful)</w:t>
      </w:r>
      <w:r w:rsidRPr="00733EFB">
        <w:rPr>
          <w:rFonts w:asciiTheme="minorHAnsi" w:hAnsiTheme="minorHAnsi" w:cstheme="minorHAnsi"/>
          <w:color w:val="943634" w:themeColor="accent2" w:themeShade="BF"/>
          <w:sz w:val="22"/>
          <w:szCs w:val="22"/>
          <w:lang w:val="en-US"/>
        </w:rPr>
        <w:t>.</w:t>
      </w:r>
    </w:p>
    <w:p w14:paraId="3E998722" w14:textId="77777777" w:rsidR="0069477B" w:rsidRPr="00733EF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I</w:t>
      </w:r>
      <w:r w:rsidRPr="00733EFB">
        <w:rPr>
          <w:rFonts w:asciiTheme="minorHAnsi" w:hAnsiTheme="minorHAnsi" w:cstheme="minorHAnsi"/>
          <w:color w:val="943634" w:themeColor="accent2" w:themeShade="BF"/>
          <w:sz w:val="22"/>
          <w:szCs w:val="22"/>
          <w:lang w:val="en-US"/>
        </w:rPr>
        <w:t xml:space="preserve">t is difficult to mitigate the confusion created from publishing past performance and the warning attached to it and then disclose </w:t>
      </w:r>
      <w:r>
        <w:rPr>
          <w:rFonts w:asciiTheme="minorHAnsi" w:hAnsiTheme="minorHAnsi" w:cstheme="minorHAnsi"/>
          <w:color w:val="943634" w:themeColor="accent2" w:themeShade="BF"/>
          <w:sz w:val="22"/>
          <w:szCs w:val="22"/>
          <w:lang w:val="en-US"/>
        </w:rPr>
        <w:t xml:space="preserve">future </w:t>
      </w:r>
      <w:r w:rsidRPr="00733EFB">
        <w:rPr>
          <w:rFonts w:asciiTheme="minorHAnsi" w:hAnsiTheme="minorHAnsi" w:cstheme="minorHAnsi"/>
          <w:color w:val="943634" w:themeColor="accent2" w:themeShade="BF"/>
          <w:sz w:val="22"/>
          <w:szCs w:val="22"/>
          <w:lang w:val="en-US"/>
        </w:rPr>
        <w:t>return estimations based on past performance</w:t>
      </w:r>
      <w:r>
        <w:rPr>
          <w:rFonts w:asciiTheme="minorHAnsi" w:hAnsiTheme="minorHAnsi" w:cstheme="minorHAnsi"/>
          <w:color w:val="943634" w:themeColor="accent2" w:themeShade="BF"/>
          <w:sz w:val="22"/>
          <w:szCs w:val="22"/>
          <w:lang w:val="en-US"/>
        </w:rPr>
        <w:t>.</w:t>
      </w:r>
    </w:p>
    <w:p w14:paraId="22E1E79D"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p>
    <w:p w14:paraId="586278A3" w14:textId="77777777" w:rsidR="006A7817" w:rsidRDefault="0069477B" w:rsidP="0069477B">
      <w:pPr>
        <w:pStyle w:val="Default"/>
        <w:jc w:val="both"/>
        <w:rPr>
          <w:rFonts w:asciiTheme="minorHAnsi" w:hAnsiTheme="minorHAnsi" w:cstheme="minorHAnsi"/>
          <w:color w:val="943634" w:themeColor="accent2" w:themeShade="BF"/>
          <w:sz w:val="22"/>
          <w:szCs w:val="22"/>
          <w:lang w:val="en-US"/>
        </w:rPr>
      </w:pPr>
      <w:r w:rsidRPr="00733EFB">
        <w:rPr>
          <w:rFonts w:asciiTheme="minorHAnsi" w:hAnsiTheme="minorHAnsi" w:cstheme="minorHAnsi"/>
          <w:color w:val="943634" w:themeColor="accent2" w:themeShade="BF"/>
          <w:sz w:val="22"/>
          <w:szCs w:val="22"/>
          <w:lang w:val="en-US"/>
        </w:rPr>
        <w:t xml:space="preserve">FPSB </w:t>
      </w:r>
      <w:r>
        <w:rPr>
          <w:rFonts w:asciiTheme="minorHAnsi" w:hAnsiTheme="minorHAnsi" w:cstheme="minorHAnsi"/>
          <w:color w:val="943634" w:themeColor="accent2" w:themeShade="BF"/>
          <w:sz w:val="22"/>
          <w:szCs w:val="22"/>
          <w:lang w:val="en-US"/>
        </w:rPr>
        <w:t>Europe favors the</w:t>
      </w:r>
      <w:r w:rsidRPr="00733EFB">
        <w:rPr>
          <w:rFonts w:asciiTheme="minorHAnsi" w:hAnsiTheme="minorHAnsi" w:cstheme="minorHAnsi"/>
          <w:color w:val="943634" w:themeColor="accent2" w:themeShade="BF"/>
          <w:sz w:val="22"/>
          <w:szCs w:val="22"/>
          <w:lang w:val="en-US"/>
        </w:rPr>
        <w:t xml:space="preserve"> replace</w:t>
      </w:r>
      <w:r>
        <w:rPr>
          <w:rFonts w:asciiTheme="minorHAnsi" w:hAnsiTheme="minorHAnsi" w:cstheme="minorHAnsi"/>
          <w:color w:val="943634" w:themeColor="accent2" w:themeShade="BF"/>
          <w:sz w:val="22"/>
          <w:szCs w:val="22"/>
          <w:lang w:val="en-US"/>
        </w:rPr>
        <w:t>ment of</w:t>
      </w:r>
      <w:r w:rsidRPr="00733EFB">
        <w:rPr>
          <w:rFonts w:asciiTheme="minorHAnsi" w:hAnsiTheme="minorHAnsi" w:cstheme="minorHAnsi"/>
          <w:color w:val="943634" w:themeColor="accent2" w:themeShade="BF"/>
          <w:sz w:val="22"/>
          <w:szCs w:val="22"/>
          <w:lang w:val="en-US"/>
        </w:rPr>
        <w:t xml:space="preserve"> </w:t>
      </w:r>
      <w:r>
        <w:rPr>
          <w:rFonts w:asciiTheme="minorHAnsi" w:hAnsiTheme="minorHAnsi" w:cstheme="minorHAnsi"/>
          <w:color w:val="943634" w:themeColor="accent2" w:themeShade="BF"/>
          <w:sz w:val="22"/>
          <w:szCs w:val="22"/>
          <w:lang w:val="en-US"/>
        </w:rPr>
        <w:t>p</w:t>
      </w:r>
      <w:r w:rsidRPr="00733EFB">
        <w:rPr>
          <w:rFonts w:asciiTheme="minorHAnsi" w:hAnsiTheme="minorHAnsi" w:cstheme="minorHAnsi"/>
          <w:color w:val="943634" w:themeColor="accent2" w:themeShade="BF"/>
          <w:sz w:val="22"/>
          <w:szCs w:val="22"/>
          <w:lang w:val="en-US"/>
        </w:rPr>
        <w:t xml:space="preserve">robabilistic </w:t>
      </w:r>
      <w:r>
        <w:rPr>
          <w:rFonts w:asciiTheme="minorHAnsi" w:hAnsiTheme="minorHAnsi" w:cstheme="minorHAnsi"/>
          <w:color w:val="943634" w:themeColor="accent2" w:themeShade="BF"/>
          <w:sz w:val="22"/>
          <w:szCs w:val="22"/>
          <w:lang w:val="en-US"/>
        </w:rPr>
        <w:t>scenarios</w:t>
      </w:r>
      <w:r w:rsidRPr="00733EFB">
        <w:rPr>
          <w:rFonts w:asciiTheme="minorHAnsi" w:hAnsiTheme="minorHAnsi" w:cstheme="minorHAnsi"/>
          <w:color w:val="943634" w:themeColor="accent2" w:themeShade="BF"/>
          <w:sz w:val="22"/>
          <w:szCs w:val="22"/>
          <w:lang w:val="en-US"/>
        </w:rPr>
        <w:t xml:space="preserve"> of returns</w:t>
      </w:r>
      <w:r>
        <w:rPr>
          <w:rFonts w:asciiTheme="minorHAnsi" w:hAnsiTheme="minorHAnsi" w:cstheme="minorHAnsi"/>
          <w:color w:val="943634" w:themeColor="accent2" w:themeShade="BF"/>
          <w:sz w:val="22"/>
          <w:szCs w:val="22"/>
          <w:lang w:val="en-US"/>
        </w:rPr>
        <w:t xml:space="preserve"> </w:t>
      </w:r>
      <w:r w:rsidRPr="00733EFB">
        <w:rPr>
          <w:rFonts w:asciiTheme="minorHAnsi" w:hAnsiTheme="minorHAnsi" w:cstheme="minorHAnsi"/>
          <w:color w:val="943634" w:themeColor="accent2" w:themeShade="BF"/>
          <w:sz w:val="22"/>
          <w:szCs w:val="22"/>
          <w:lang w:val="en-US"/>
        </w:rPr>
        <w:t>estimations with illustrative scenarios</w:t>
      </w:r>
      <w:r>
        <w:rPr>
          <w:rFonts w:asciiTheme="minorHAnsi" w:hAnsiTheme="minorHAnsi" w:cstheme="minorHAnsi"/>
          <w:color w:val="943634" w:themeColor="accent2" w:themeShade="BF"/>
          <w:sz w:val="22"/>
          <w:szCs w:val="22"/>
          <w:lang w:val="en-US"/>
        </w:rPr>
        <w:t xml:space="preserve"> based upon/referring to actual past performance.</w:t>
      </w:r>
    </w:p>
    <w:p w14:paraId="4F7F432F" w14:textId="01F613CE" w:rsidR="0069477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 xml:space="preserve"> </w:t>
      </w:r>
    </w:p>
    <w:p w14:paraId="35C2EAFA" w14:textId="77777777" w:rsidR="006A7817" w:rsidRDefault="0069477B" w:rsidP="0069477B">
      <w:pPr>
        <w:pStyle w:val="Default"/>
        <w:jc w:val="both"/>
        <w:rPr>
          <w:rFonts w:asciiTheme="minorHAnsi" w:hAnsiTheme="minorHAnsi" w:cstheme="minorHAnsi"/>
          <w:color w:val="943634" w:themeColor="accent2" w:themeShade="BF"/>
          <w:sz w:val="22"/>
          <w:szCs w:val="22"/>
          <w:lang w:val="en-US"/>
        </w:rPr>
      </w:pPr>
      <w:r w:rsidRPr="00733EFB">
        <w:rPr>
          <w:rFonts w:asciiTheme="minorHAnsi" w:hAnsiTheme="minorHAnsi" w:cstheme="minorHAnsi"/>
          <w:color w:val="943634" w:themeColor="accent2" w:themeShade="BF"/>
          <w:sz w:val="22"/>
          <w:szCs w:val="22"/>
          <w:lang w:val="en-US"/>
        </w:rPr>
        <w:t>We believe that</w:t>
      </w:r>
      <w:r>
        <w:rPr>
          <w:rFonts w:asciiTheme="minorHAnsi" w:hAnsiTheme="minorHAnsi" w:cstheme="minorHAnsi"/>
          <w:color w:val="943634" w:themeColor="accent2" w:themeShade="BF"/>
          <w:sz w:val="22"/>
          <w:szCs w:val="22"/>
          <w:lang w:val="en-US"/>
        </w:rPr>
        <w:t>, in addition to “structural information” on returns levels and volatility (that is contained in past actual performance records),</w:t>
      </w:r>
      <w:r w:rsidRPr="00733EFB">
        <w:rPr>
          <w:rFonts w:asciiTheme="minorHAnsi" w:hAnsiTheme="minorHAnsi" w:cstheme="minorHAnsi"/>
          <w:color w:val="943634" w:themeColor="accent2" w:themeShade="BF"/>
          <w:sz w:val="22"/>
          <w:szCs w:val="22"/>
          <w:lang w:val="en-US"/>
        </w:rPr>
        <w:t xml:space="preserve"> meaningful information for </w:t>
      </w:r>
      <w:r>
        <w:rPr>
          <w:rFonts w:asciiTheme="minorHAnsi" w:hAnsiTheme="minorHAnsi" w:cstheme="minorHAnsi"/>
          <w:color w:val="943634" w:themeColor="accent2" w:themeShade="BF"/>
          <w:sz w:val="22"/>
          <w:szCs w:val="22"/>
          <w:lang w:val="en-US"/>
        </w:rPr>
        <w:t>retail investors</w:t>
      </w:r>
      <w:r w:rsidRPr="00733EFB">
        <w:rPr>
          <w:rFonts w:asciiTheme="minorHAnsi" w:hAnsiTheme="minorHAnsi" w:cstheme="minorHAnsi"/>
          <w:color w:val="943634" w:themeColor="accent2" w:themeShade="BF"/>
          <w:sz w:val="22"/>
          <w:szCs w:val="22"/>
          <w:lang w:val="en-US"/>
        </w:rPr>
        <w:t xml:space="preserve"> is the one that prepares </w:t>
      </w:r>
      <w:r>
        <w:rPr>
          <w:rFonts w:asciiTheme="minorHAnsi" w:hAnsiTheme="minorHAnsi" w:cstheme="minorHAnsi"/>
          <w:color w:val="943634" w:themeColor="accent2" w:themeShade="BF"/>
          <w:sz w:val="22"/>
          <w:szCs w:val="22"/>
          <w:lang w:val="en-US"/>
        </w:rPr>
        <w:t>them</w:t>
      </w:r>
      <w:r w:rsidRPr="00733EFB">
        <w:rPr>
          <w:rFonts w:asciiTheme="minorHAnsi" w:hAnsiTheme="minorHAnsi" w:cstheme="minorHAnsi"/>
          <w:color w:val="943634" w:themeColor="accent2" w:themeShade="BF"/>
          <w:sz w:val="22"/>
          <w:szCs w:val="22"/>
          <w:lang w:val="en-US"/>
        </w:rPr>
        <w:t xml:space="preserve"> for different market evolutions without </w:t>
      </w:r>
      <w:r>
        <w:rPr>
          <w:rFonts w:asciiTheme="minorHAnsi" w:hAnsiTheme="minorHAnsi" w:cstheme="minorHAnsi"/>
          <w:color w:val="943634" w:themeColor="accent2" w:themeShade="BF"/>
          <w:sz w:val="22"/>
          <w:szCs w:val="22"/>
          <w:lang w:val="en-US"/>
        </w:rPr>
        <w:t xml:space="preserve">emphasizing </w:t>
      </w:r>
      <w:r w:rsidRPr="00733EFB">
        <w:rPr>
          <w:rFonts w:asciiTheme="minorHAnsi" w:hAnsiTheme="minorHAnsi" w:cstheme="minorHAnsi"/>
          <w:color w:val="943634" w:themeColor="accent2" w:themeShade="BF"/>
          <w:sz w:val="22"/>
          <w:szCs w:val="22"/>
          <w:lang w:val="en-US"/>
        </w:rPr>
        <w:t>particular level</w:t>
      </w:r>
      <w:r>
        <w:rPr>
          <w:rFonts w:asciiTheme="minorHAnsi" w:hAnsiTheme="minorHAnsi" w:cstheme="minorHAnsi"/>
          <w:color w:val="943634" w:themeColor="accent2" w:themeShade="BF"/>
          <w:sz w:val="22"/>
          <w:szCs w:val="22"/>
          <w:lang w:val="en-US"/>
        </w:rPr>
        <w:t xml:space="preserve">s </w:t>
      </w:r>
      <w:r w:rsidRPr="00733EFB">
        <w:rPr>
          <w:rFonts w:asciiTheme="minorHAnsi" w:hAnsiTheme="minorHAnsi" w:cstheme="minorHAnsi"/>
          <w:color w:val="943634" w:themeColor="accent2" w:themeShade="BF"/>
          <w:sz w:val="22"/>
          <w:szCs w:val="22"/>
          <w:lang w:val="en-US"/>
        </w:rPr>
        <w:t>of return.</w:t>
      </w:r>
    </w:p>
    <w:p w14:paraId="6041310C" w14:textId="2488F8F1" w:rsidR="0069477B" w:rsidRDefault="0069477B" w:rsidP="0069477B">
      <w:pPr>
        <w:pStyle w:val="Default"/>
        <w:jc w:val="both"/>
        <w:rPr>
          <w:rFonts w:asciiTheme="minorHAnsi" w:hAnsiTheme="minorHAnsi" w:cstheme="minorHAnsi"/>
          <w:color w:val="943634" w:themeColor="accent2" w:themeShade="BF"/>
          <w:sz w:val="22"/>
          <w:szCs w:val="22"/>
          <w:lang w:val="en-US"/>
        </w:rPr>
      </w:pPr>
      <w:r w:rsidRPr="00733EFB">
        <w:rPr>
          <w:rFonts w:asciiTheme="minorHAnsi" w:hAnsiTheme="minorHAnsi" w:cstheme="minorHAnsi"/>
          <w:color w:val="943634" w:themeColor="accent2" w:themeShade="BF"/>
          <w:sz w:val="22"/>
          <w:szCs w:val="22"/>
          <w:lang w:val="en-US"/>
        </w:rPr>
        <w:t xml:space="preserve"> </w:t>
      </w:r>
    </w:p>
    <w:p w14:paraId="4003846F" w14:textId="54BAE4E6" w:rsidR="0069477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These i</w:t>
      </w:r>
      <w:r w:rsidRPr="00733EFB">
        <w:rPr>
          <w:rFonts w:asciiTheme="minorHAnsi" w:hAnsiTheme="minorHAnsi" w:cstheme="minorHAnsi"/>
          <w:color w:val="943634" w:themeColor="accent2" w:themeShade="BF"/>
          <w:sz w:val="22"/>
          <w:szCs w:val="22"/>
          <w:lang w:val="en-US"/>
        </w:rPr>
        <w:t xml:space="preserve">llustrative scenarios </w:t>
      </w:r>
      <w:r>
        <w:rPr>
          <w:rFonts w:asciiTheme="minorHAnsi" w:hAnsiTheme="minorHAnsi" w:cstheme="minorHAnsi"/>
          <w:color w:val="943634" w:themeColor="accent2" w:themeShade="BF"/>
          <w:sz w:val="22"/>
          <w:szCs w:val="22"/>
          <w:lang w:val="en-US"/>
        </w:rPr>
        <w:t>sh</w:t>
      </w:r>
      <w:r w:rsidRPr="00733EFB">
        <w:rPr>
          <w:rFonts w:asciiTheme="minorHAnsi" w:hAnsiTheme="minorHAnsi" w:cstheme="minorHAnsi"/>
          <w:color w:val="943634" w:themeColor="accent2" w:themeShade="BF"/>
          <w:sz w:val="22"/>
          <w:szCs w:val="22"/>
          <w:lang w:val="en-US"/>
        </w:rPr>
        <w:t xml:space="preserve">ould </w:t>
      </w:r>
      <w:r>
        <w:rPr>
          <w:rFonts w:asciiTheme="minorHAnsi" w:hAnsiTheme="minorHAnsi" w:cstheme="minorHAnsi"/>
          <w:color w:val="943634" w:themeColor="accent2" w:themeShade="BF"/>
          <w:sz w:val="22"/>
          <w:szCs w:val="22"/>
          <w:lang w:val="en-US"/>
        </w:rPr>
        <w:t xml:space="preserve">thus be clearly defined as </w:t>
      </w:r>
      <w:r w:rsidRPr="00733EFB">
        <w:rPr>
          <w:rFonts w:asciiTheme="minorHAnsi" w:hAnsiTheme="minorHAnsi" w:cstheme="minorHAnsi"/>
          <w:color w:val="943634" w:themeColor="accent2" w:themeShade="BF"/>
          <w:sz w:val="22"/>
          <w:szCs w:val="22"/>
          <w:lang w:val="en-US"/>
        </w:rPr>
        <w:t>not attempt</w:t>
      </w:r>
      <w:r>
        <w:rPr>
          <w:rFonts w:asciiTheme="minorHAnsi" w:hAnsiTheme="minorHAnsi" w:cstheme="minorHAnsi"/>
          <w:color w:val="943634" w:themeColor="accent2" w:themeShade="BF"/>
          <w:sz w:val="22"/>
          <w:szCs w:val="22"/>
          <w:lang w:val="en-US"/>
        </w:rPr>
        <w:t>ing to</w:t>
      </w:r>
      <w:r w:rsidRPr="00733EFB">
        <w:rPr>
          <w:rFonts w:asciiTheme="minorHAnsi" w:hAnsiTheme="minorHAnsi" w:cstheme="minorHAnsi"/>
          <w:color w:val="943634" w:themeColor="accent2" w:themeShade="BF"/>
          <w:sz w:val="22"/>
          <w:szCs w:val="22"/>
          <w:lang w:val="en-US"/>
        </w:rPr>
        <w:t xml:space="preserve"> predict the future, but </w:t>
      </w:r>
      <w:r>
        <w:rPr>
          <w:rFonts w:asciiTheme="minorHAnsi" w:hAnsiTheme="minorHAnsi" w:cstheme="minorHAnsi"/>
          <w:color w:val="943634" w:themeColor="accent2" w:themeShade="BF"/>
          <w:sz w:val="22"/>
          <w:szCs w:val="22"/>
          <w:lang w:val="en-US"/>
        </w:rPr>
        <w:t>as</w:t>
      </w:r>
      <w:r w:rsidRPr="00733EFB">
        <w:rPr>
          <w:rFonts w:asciiTheme="minorHAnsi" w:hAnsiTheme="minorHAnsi" w:cstheme="minorHAnsi"/>
          <w:color w:val="943634" w:themeColor="accent2" w:themeShade="BF"/>
          <w:sz w:val="22"/>
          <w:szCs w:val="22"/>
          <w:lang w:val="en-US"/>
        </w:rPr>
        <w:t xml:space="preserve"> </w:t>
      </w:r>
      <w:r>
        <w:rPr>
          <w:rFonts w:asciiTheme="minorHAnsi" w:hAnsiTheme="minorHAnsi" w:cstheme="minorHAnsi"/>
          <w:color w:val="943634" w:themeColor="accent2" w:themeShade="BF"/>
          <w:sz w:val="22"/>
          <w:szCs w:val="22"/>
          <w:lang w:val="en-US"/>
        </w:rPr>
        <w:t xml:space="preserve">giving </w:t>
      </w:r>
      <w:r w:rsidRPr="00733EFB">
        <w:rPr>
          <w:rFonts w:asciiTheme="minorHAnsi" w:hAnsiTheme="minorHAnsi" w:cstheme="minorHAnsi"/>
          <w:color w:val="943634" w:themeColor="accent2" w:themeShade="BF"/>
          <w:sz w:val="22"/>
          <w:szCs w:val="22"/>
          <w:lang w:val="en-US"/>
        </w:rPr>
        <w:t xml:space="preserve">the retail investor reasonable </w:t>
      </w:r>
      <w:r>
        <w:rPr>
          <w:rFonts w:asciiTheme="minorHAnsi" w:hAnsiTheme="minorHAnsi" w:cstheme="minorHAnsi"/>
          <w:color w:val="943634" w:themeColor="accent2" w:themeShade="BF"/>
          <w:sz w:val="22"/>
          <w:szCs w:val="22"/>
          <w:lang w:val="en-US"/>
        </w:rPr>
        <w:t>information</w:t>
      </w:r>
      <w:r w:rsidRPr="00733EFB">
        <w:rPr>
          <w:rFonts w:asciiTheme="minorHAnsi" w:hAnsiTheme="minorHAnsi" w:cstheme="minorHAnsi"/>
          <w:color w:val="943634" w:themeColor="accent2" w:themeShade="BF"/>
          <w:sz w:val="22"/>
          <w:szCs w:val="22"/>
          <w:lang w:val="en-US"/>
        </w:rPr>
        <w:t xml:space="preserve"> </w:t>
      </w:r>
      <w:r>
        <w:rPr>
          <w:rFonts w:asciiTheme="minorHAnsi" w:hAnsiTheme="minorHAnsi" w:cstheme="minorHAnsi"/>
          <w:color w:val="943634" w:themeColor="accent2" w:themeShade="BF"/>
          <w:sz w:val="22"/>
          <w:szCs w:val="22"/>
          <w:lang w:val="en-US"/>
        </w:rPr>
        <w:t>about</w:t>
      </w:r>
      <w:r w:rsidRPr="00733EFB">
        <w:rPr>
          <w:rFonts w:asciiTheme="minorHAnsi" w:hAnsiTheme="minorHAnsi" w:cstheme="minorHAnsi"/>
          <w:color w:val="943634" w:themeColor="accent2" w:themeShade="BF"/>
          <w:sz w:val="22"/>
          <w:szCs w:val="22"/>
          <w:lang w:val="en-US"/>
        </w:rPr>
        <w:t xml:space="preserve"> what c</w:t>
      </w:r>
      <w:r>
        <w:rPr>
          <w:rFonts w:asciiTheme="minorHAnsi" w:hAnsiTheme="minorHAnsi" w:cstheme="minorHAnsi"/>
          <w:color w:val="943634" w:themeColor="accent2" w:themeShade="BF"/>
          <w:sz w:val="22"/>
          <w:szCs w:val="22"/>
          <w:lang w:val="en-US"/>
        </w:rPr>
        <w:t>ould</w:t>
      </w:r>
      <w:r w:rsidRPr="00733EFB">
        <w:rPr>
          <w:rFonts w:asciiTheme="minorHAnsi" w:hAnsiTheme="minorHAnsi" w:cstheme="minorHAnsi"/>
          <w:color w:val="943634" w:themeColor="accent2" w:themeShade="BF"/>
          <w:sz w:val="22"/>
          <w:szCs w:val="22"/>
          <w:lang w:val="en-US"/>
        </w:rPr>
        <w:t xml:space="preserve"> happen with a PRIIP </w:t>
      </w:r>
      <w:r>
        <w:rPr>
          <w:rFonts w:asciiTheme="minorHAnsi" w:hAnsiTheme="minorHAnsi" w:cstheme="minorHAnsi"/>
          <w:color w:val="943634" w:themeColor="accent2" w:themeShade="BF"/>
          <w:sz w:val="22"/>
          <w:szCs w:val="22"/>
          <w:lang w:val="en-US"/>
        </w:rPr>
        <w:t>across several contrasted possible futures, resulting in</w:t>
      </w:r>
      <w:r w:rsidRPr="00733EFB">
        <w:rPr>
          <w:rFonts w:asciiTheme="minorHAnsi" w:hAnsiTheme="minorHAnsi" w:cstheme="minorHAnsi"/>
          <w:color w:val="943634" w:themeColor="accent2" w:themeShade="BF"/>
          <w:sz w:val="22"/>
          <w:szCs w:val="22"/>
          <w:lang w:val="en-US"/>
        </w:rPr>
        <w:t xml:space="preserve"> abnormal (positive or negative</w:t>
      </w:r>
      <w:r>
        <w:rPr>
          <w:rFonts w:asciiTheme="minorHAnsi" w:hAnsiTheme="minorHAnsi" w:cstheme="minorHAnsi"/>
          <w:color w:val="943634" w:themeColor="accent2" w:themeShade="BF"/>
          <w:sz w:val="22"/>
          <w:szCs w:val="22"/>
          <w:lang w:val="en-US"/>
        </w:rPr>
        <w:t>)</w:t>
      </w:r>
      <w:r w:rsidRPr="00733EFB">
        <w:rPr>
          <w:rFonts w:asciiTheme="minorHAnsi" w:hAnsiTheme="minorHAnsi" w:cstheme="minorHAnsi"/>
          <w:color w:val="943634" w:themeColor="accent2" w:themeShade="BF"/>
          <w:sz w:val="22"/>
          <w:szCs w:val="22"/>
          <w:lang w:val="en-US"/>
        </w:rPr>
        <w:t xml:space="preserve"> returns, significant losses or moderate performances</w:t>
      </w:r>
      <w:r>
        <w:rPr>
          <w:rFonts w:asciiTheme="minorHAnsi" w:hAnsiTheme="minorHAnsi" w:cstheme="minorHAnsi"/>
          <w:color w:val="943634" w:themeColor="accent2" w:themeShade="BF"/>
          <w:sz w:val="22"/>
          <w:szCs w:val="22"/>
          <w:lang w:val="en-US"/>
        </w:rPr>
        <w:t>, compared to/based upon what was observed in the past</w:t>
      </w:r>
      <w:r w:rsidRPr="00733EFB">
        <w:rPr>
          <w:rFonts w:asciiTheme="minorHAnsi" w:hAnsiTheme="minorHAnsi" w:cstheme="minorHAnsi"/>
          <w:color w:val="943634" w:themeColor="accent2" w:themeShade="BF"/>
          <w:sz w:val="22"/>
          <w:szCs w:val="22"/>
          <w:lang w:val="en-US"/>
        </w:rPr>
        <w:t>.</w:t>
      </w:r>
    </w:p>
    <w:p w14:paraId="20EC3AAD" w14:textId="77777777" w:rsidR="006A7817" w:rsidRPr="00733EFB" w:rsidRDefault="006A7817" w:rsidP="0069477B">
      <w:pPr>
        <w:pStyle w:val="Default"/>
        <w:jc w:val="both"/>
        <w:rPr>
          <w:rFonts w:asciiTheme="minorHAnsi" w:hAnsiTheme="minorHAnsi" w:cstheme="minorHAnsi"/>
          <w:color w:val="943634" w:themeColor="accent2" w:themeShade="BF"/>
          <w:sz w:val="22"/>
          <w:szCs w:val="22"/>
          <w:lang w:val="en-US"/>
        </w:rPr>
      </w:pPr>
    </w:p>
    <w:p w14:paraId="61FC5F74" w14:textId="77777777" w:rsidR="0069477B" w:rsidRPr="00733EF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These i</w:t>
      </w:r>
      <w:r w:rsidRPr="00733EFB">
        <w:rPr>
          <w:rFonts w:asciiTheme="minorHAnsi" w:hAnsiTheme="minorHAnsi" w:cstheme="minorHAnsi"/>
          <w:color w:val="943634" w:themeColor="accent2" w:themeShade="BF"/>
          <w:sz w:val="22"/>
          <w:szCs w:val="22"/>
          <w:lang w:val="en-US"/>
        </w:rPr>
        <w:t xml:space="preserve">llustrative scenarios </w:t>
      </w:r>
      <w:r>
        <w:rPr>
          <w:rFonts w:asciiTheme="minorHAnsi" w:hAnsiTheme="minorHAnsi" w:cstheme="minorHAnsi"/>
          <w:color w:val="943634" w:themeColor="accent2" w:themeShade="BF"/>
          <w:sz w:val="22"/>
          <w:szCs w:val="22"/>
          <w:lang w:val="en-US"/>
        </w:rPr>
        <w:t xml:space="preserve">would </w:t>
      </w:r>
      <w:r w:rsidRPr="00733EFB">
        <w:rPr>
          <w:rFonts w:asciiTheme="minorHAnsi" w:hAnsiTheme="minorHAnsi" w:cstheme="minorHAnsi"/>
          <w:color w:val="943634" w:themeColor="accent2" w:themeShade="BF"/>
          <w:sz w:val="22"/>
          <w:szCs w:val="22"/>
          <w:lang w:val="en-US"/>
        </w:rPr>
        <w:t xml:space="preserve">also have the advantage of providing </w:t>
      </w:r>
      <w:r>
        <w:rPr>
          <w:rFonts w:asciiTheme="minorHAnsi" w:hAnsiTheme="minorHAnsi" w:cstheme="minorHAnsi"/>
          <w:color w:val="943634" w:themeColor="accent2" w:themeShade="BF"/>
          <w:sz w:val="22"/>
          <w:szCs w:val="22"/>
          <w:lang w:val="en-US"/>
        </w:rPr>
        <w:t>some</w:t>
      </w:r>
      <w:r w:rsidRPr="00733EFB">
        <w:rPr>
          <w:rFonts w:asciiTheme="minorHAnsi" w:hAnsiTheme="minorHAnsi" w:cstheme="minorHAnsi"/>
          <w:color w:val="943634" w:themeColor="accent2" w:themeShade="BF"/>
          <w:sz w:val="22"/>
          <w:szCs w:val="22"/>
          <w:lang w:val="en-US"/>
        </w:rPr>
        <w:t xml:space="preserve"> financial education and </w:t>
      </w:r>
      <w:r>
        <w:rPr>
          <w:rFonts w:asciiTheme="minorHAnsi" w:hAnsiTheme="minorHAnsi" w:cstheme="minorHAnsi"/>
          <w:color w:val="943634" w:themeColor="accent2" w:themeShade="BF"/>
          <w:sz w:val="22"/>
          <w:szCs w:val="22"/>
          <w:lang w:val="en-US"/>
        </w:rPr>
        <w:t>of encouraging the retail investor</w:t>
      </w:r>
      <w:r w:rsidRPr="00733EFB">
        <w:rPr>
          <w:rFonts w:asciiTheme="minorHAnsi" w:hAnsiTheme="minorHAnsi" w:cstheme="minorHAnsi"/>
          <w:color w:val="943634" w:themeColor="accent2" w:themeShade="BF"/>
          <w:sz w:val="22"/>
          <w:szCs w:val="22"/>
          <w:lang w:val="en-US"/>
        </w:rPr>
        <w:t xml:space="preserve"> to </w:t>
      </w:r>
      <w:r>
        <w:rPr>
          <w:rFonts w:asciiTheme="minorHAnsi" w:hAnsiTheme="minorHAnsi" w:cstheme="minorHAnsi"/>
          <w:color w:val="943634" w:themeColor="accent2" w:themeShade="BF"/>
          <w:sz w:val="22"/>
          <w:szCs w:val="22"/>
          <w:lang w:val="en-US"/>
        </w:rPr>
        <w:t xml:space="preserve">better </w:t>
      </w:r>
      <w:r w:rsidRPr="00733EFB">
        <w:rPr>
          <w:rFonts w:asciiTheme="minorHAnsi" w:hAnsiTheme="minorHAnsi" w:cstheme="minorHAnsi"/>
          <w:color w:val="943634" w:themeColor="accent2" w:themeShade="BF"/>
          <w:sz w:val="22"/>
          <w:szCs w:val="22"/>
          <w:lang w:val="en-US"/>
        </w:rPr>
        <w:t xml:space="preserve">track </w:t>
      </w:r>
      <w:r>
        <w:rPr>
          <w:rFonts w:asciiTheme="minorHAnsi" w:hAnsiTheme="minorHAnsi" w:cstheme="minorHAnsi"/>
          <w:color w:val="943634" w:themeColor="accent2" w:themeShade="BF"/>
          <w:sz w:val="22"/>
          <w:szCs w:val="22"/>
          <w:lang w:val="en-US"/>
        </w:rPr>
        <w:t>the</w:t>
      </w:r>
      <w:r w:rsidRPr="00733EFB">
        <w:rPr>
          <w:rFonts w:asciiTheme="minorHAnsi" w:hAnsiTheme="minorHAnsi" w:cstheme="minorHAnsi"/>
          <w:color w:val="943634" w:themeColor="accent2" w:themeShade="BF"/>
          <w:sz w:val="22"/>
          <w:szCs w:val="22"/>
          <w:lang w:val="en-US"/>
        </w:rPr>
        <w:t xml:space="preserve"> performance </w:t>
      </w:r>
      <w:r>
        <w:rPr>
          <w:rFonts w:asciiTheme="minorHAnsi" w:hAnsiTheme="minorHAnsi" w:cstheme="minorHAnsi"/>
          <w:color w:val="943634" w:themeColor="accent2" w:themeShade="BF"/>
          <w:sz w:val="22"/>
          <w:szCs w:val="22"/>
          <w:lang w:val="en-US"/>
        </w:rPr>
        <w:t>of</w:t>
      </w:r>
      <w:r w:rsidRPr="00733EFB">
        <w:rPr>
          <w:rFonts w:asciiTheme="minorHAnsi" w:hAnsiTheme="minorHAnsi" w:cstheme="minorHAnsi"/>
          <w:color w:val="943634" w:themeColor="accent2" w:themeShade="BF"/>
          <w:sz w:val="22"/>
          <w:szCs w:val="22"/>
          <w:lang w:val="en-US"/>
        </w:rPr>
        <w:t xml:space="preserve"> </w:t>
      </w:r>
      <w:r>
        <w:rPr>
          <w:rFonts w:asciiTheme="minorHAnsi" w:hAnsiTheme="minorHAnsi" w:cstheme="minorHAnsi"/>
          <w:color w:val="943634" w:themeColor="accent2" w:themeShade="BF"/>
          <w:sz w:val="22"/>
          <w:szCs w:val="22"/>
          <w:lang w:val="en-US"/>
        </w:rPr>
        <w:t>his or her</w:t>
      </w:r>
      <w:r w:rsidRPr="00733EFB">
        <w:rPr>
          <w:rFonts w:asciiTheme="minorHAnsi" w:hAnsiTheme="minorHAnsi" w:cstheme="minorHAnsi"/>
          <w:color w:val="943634" w:themeColor="accent2" w:themeShade="BF"/>
          <w:sz w:val="22"/>
          <w:szCs w:val="22"/>
          <w:lang w:val="en-US"/>
        </w:rPr>
        <w:t xml:space="preserve"> product and</w:t>
      </w:r>
      <w:r w:rsidRPr="00CE25C8">
        <w:rPr>
          <w:rFonts w:asciiTheme="minorHAnsi" w:hAnsiTheme="minorHAnsi" w:cstheme="minorHAnsi"/>
          <w:color w:val="943634" w:themeColor="accent2" w:themeShade="BF"/>
          <w:sz w:val="22"/>
          <w:szCs w:val="22"/>
          <w:lang w:val="en-US"/>
        </w:rPr>
        <w:t xml:space="preserve"> </w:t>
      </w:r>
      <w:r w:rsidRPr="00733EFB">
        <w:rPr>
          <w:rFonts w:asciiTheme="minorHAnsi" w:hAnsiTheme="minorHAnsi" w:cstheme="minorHAnsi"/>
          <w:color w:val="943634" w:themeColor="accent2" w:themeShade="BF"/>
          <w:sz w:val="22"/>
          <w:szCs w:val="22"/>
          <w:lang w:val="en-US"/>
        </w:rPr>
        <w:t>engage more often</w:t>
      </w:r>
      <w:r>
        <w:rPr>
          <w:rFonts w:asciiTheme="minorHAnsi" w:hAnsiTheme="minorHAnsi" w:cstheme="minorHAnsi"/>
          <w:color w:val="943634" w:themeColor="accent2" w:themeShade="BF"/>
          <w:sz w:val="22"/>
          <w:szCs w:val="22"/>
          <w:lang w:val="en-US"/>
        </w:rPr>
        <w:t xml:space="preserve"> with regard to it.</w:t>
      </w:r>
    </w:p>
    <w:p w14:paraId="29E6C9C5"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E</w:t>
      </w:r>
      <w:r w:rsidRPr="00733EFB">
        <w:rPr>
          <w:rFonts w:asciiTheme="minorHAnsi" w:hAnsiTheme="minorHAnsi" w:cstheme="minorHAnsi"/>
          <w:color w:val="943634" w:themeColor="accent2" w:themeShade="BF"/>
          <w:sz w:val="22"/>
          <w:szCs w:val="22"/>
          <w:lang w:val="en-US"/>
        </w:rPr>
        <w:t xml:space="preserve">xplanation of what can be expected from the PRIIP </w:t>
      </w:r>
      <w:r>
        <w:rPr>
          <w:rFonts w:asciiTheme="minorHAnsi" w:hAnsiTheme="minorHAnsi" w:cstheme="minorHAnsi"/>
          <w:color w:val="943634" w:themeColor="accent2" w:themeShade="BF"/>
          <w:sz w:val="22"/>
          <w:szCs w:val="22"/>
          <w:lang w:val="en-US"/>
        </w:rPr>
        <w:t xml:space="preserve">in contrasted situations should </w:t>
      </w:r>
      <w:r w:rsidRPr="00733EFB">
        <w:rPr>
          <w:rFonts w:asciiTheme="minorHAnsi" w:hAnsiTheme="minorHAnsi" w:cstheme="minorHAnsi"/>
          <w:color w:val="943634" w:themeColor="accent2" w:themeShade="BF"/>
          <w:sz w:val="22"/>
          <w:szCs w:val="22"/>
          <w:lang w:val="en-US"/>
        </w:rPr>
        <w:t>be kept short</w:t>
      </w:r>
      <w:r>
        <w:rPr>
          <w:rFonts w:asciiTheme="minorHAnsi" w:hAnsiTheme="minorHAnsi" w:cstheme="minorHAnsi"/>
          <w:color w:val="943634" w:themeColor="accent2" w:themeShade="BF"/>
          <w:sz w:val="22"/>
          <w:szCs w:val="22"/>
          <w:lang w:val="en-US"/>
        </w:rPr>
        <w:t>,</w:t>
      </w:r>
      <w:r w:rsidRPr="00733EFB">
        <w:rPr>
          <w:rFonts w:asciiTheme="minorHAnsi" w:hAnsiTheme="minorHAnsi" w:cstheme="minorHAnsi"/>
          <w:color w:val="943634" w:themeColor="accent2" w:themeShade="BF"/>
          <w:sz w:val="22"/>
          <w:szCs w:val="22"/>
          <w:lang w:val="en-US"/>
        </w:rPr>
        <w:t xml:space="preserve"> simple and concise, </w:t>
      </w:r>
      <w:r>
        <w:rPr>
          <w:rFonts w:asciiTheme="minorHAnsi" w:hAnsiTheme="minorHAnsi" w:cstheme="minorHAnsi"/>
          <w:color w:val="943634" w:themeColor="accent2" w:themeShade="BF"/>
          <w:sz w:val="22"/>
          <w:szCs w:val="22"/>
          <w:lang w:val="en-US"/>
        </w:rPr>
        <w:t>with product manufacturers banning</w:t>
      </w:r>
      <w:r w:rsidRPr="00733EFB">
        <w:rPr>
          <w:rFonts w:asciiTheme="minorHAnsi" w:hAnsiTheme="minorHAnsi" w:cstheme="minorHAnsi"/>
          <w:color w:val="943634" w:themeColor="accent2" w:themeShade="BF"/>
          <w:sz w:val="22"/>
          <w:szCs w:val="22"/>
          <w:lang w:val="en-US"/>
        </w:rPr>
        <w:t xml:space="preserve"> </w:t>
      </w:r>
      <w:r>
        <w:rPr>
          <w:rFonts w:asciiTheme="minorHAnsi" w:hAnsiTheme="minorHAnsi" w:cstheme="minorHAnsi"/>
          <w:color w:val="943634" w:themeColor="accent2" w:themeShade="BF"/>
          <w:sz w:val="22"/>
          <w:szCs w:val="22"/>
          <w:lang w:val="en-US"/>
        </w:rPr>
        <w:t xml:space="preserve">the use of </w:t>
      </w:r>
      <w:r w:rsidRPr="00733EFB">
        <w:rPr>
          <w:rFonts w:asciiTheme="minorHAnsi" w:hAnsiTheme="minorHAnsi" w:cstheme="minorHAnsi"/>
          <w:color w:val="943634" w:themeColor="accent2" w:themeShade="BF"/>
          <w:sz w:val="22"/>
          <w:szCs w:val="22"/>
          <w:lang w:val="en-US"/>
        </w:rPr>
        <w:t>jargon or technical language</w:t>
      </w:r>
      <w:r>
        <w:rPr>
          <w:rFonts w:asciiTheme="minorHAnsi" w:hAnsiTheme="minorHAnsi" w:cstheme="minorHAnsi"/>
          <w:color w:val="943634" w:themeColor="accent2" w:themeShade="BF"/>
          <w:sz w:val="22"/>
          <w:szCs w:val="22"/>
          <w:lang w:val="en-US"/>
        </w:rPr>
        <w:t xml:space="preserve"> in the explanations for retail investors</w:t>
      </w:r>
      <w:r w:rsidRPr="00733EFB">
        <w:rPr>
          <w:rFonts w:asciiTheme="minorHAnsi" w:hAnsiTheme="minorHAnsi" w:cstheme="minorHAnsi"/>
          <w:color w:val="943634" w:themeColor="accent2" w:themeShade="BF"/>
          <w:sz w:val="22"/>
          <w:szCs w:val="22"/>
          <w:lang w:val="en-US"/>
        </w:rPr>
        <w:t xml:space="preserve">. </w:t>
      </w:r>
    </w:p>
    <w:p w14:paraId="15D7623C"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p>
    <w:p w14:paraId="02E05F35" w14:textId="11BD3FDB" w:rsidR="0069477B" w:rsidRDefault="0069477B" w:rsidP="0069477B">
      <w:pPr>
        <w:pStyle w:val="Default"/>
        <w:jc w:val="both"/>
        <w:rPr>
          <w:rFonts w:asciiTheme="minorHAnsi" w:hAnsiTheme="minorHAnsi" w:cstheme="minorHAnsi"/>
          <w:color w:val="943634" w:themeColor="accent2" w:themeShade="BF"/>
          <w:sz w:val="22"/>
          <w:szCs w:val="22"/>
          <w:lang w:val="en-US"/>
        </w:rPr>
      </w:pPr>
      <w:r w:rsidRPr="00733EFB">
        <w:rPr>
          <w:rFonts w:asciiTheme="minorHAnsi" w:hAnsiTheme="minorHAnsi" w:cstheme="minorHAnsi"/>
          <w:color w:val="943634" w:themeColor="accent2" w:themeShade="BF"/>
          <w:sz w:val="22"/>
          <w:szCs w:val="22"/>
          <w:lang w:val="en-US"/>
        </w:rPr>
        <w:t>The ESAs proposals consider describing an illustrative scenario as a drop or increase in the market (index) of the PRIIP and showing how the product would behave in such conditions.</w:t>
      </w:r>
    </w:p>
    <w:p w14:paraId="24476F87" w14:textId="77777777" w:rsidR="006A7817" w:rsidRPr="00733EFB" w:rsidRDefault="006A7817" w:rsidP="0069477B">
      <w:pPr>
        <w:pStyle w:val="Default"/>
        <w:jc w:val="both"/>
        <w:rPr>
          <w:rFonts w:asciiTheme="minorHAnsi" w:hAnsiTheme="minorHAnsi" w:cstheme="minorHAnsi"/>
          <w:color w:val="943634" w:themeColor="accent2" w:themeShade="BF"/>
          <w:sz w:val="22"/>
          <w:szCs w:val="22"/>
          <w:lang w:val="en-US"/>
        </w:rPr>
      </w:pPr>
    </w:p>
    <w:p w14:paraId="74B12BB3" w14:textId="77777777" w:rsidR="0069477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FPSB Europe considers this to be</w:t>
      </w:r>
      <w:r w:rsidRPr="00733EFB">
        <w:rPr>
          <w:rFonts w:asciiTheme="minorHAnsi" w:hAnsiTheme="minorHAnsi" w:cstheme="minorHAnsi"/>
          <w:color w:val="943634" w:themeColor="accent2" w:themeShade="BF"/>
          <w:sz w:val="22"/>
          <w:szCs w:val="22"/>
          <w:lang w:val="en-US"/>
        </w:rPr>
        <w:t xml:space="preserve"> a risky approach:</w:t>
      </w:r>
      <w:r>
        <w:rPr>
          <w:rFonts w:asciiTheme="minorHAnsi" w:hAnsiTheme="minorHAnsi" w:cstheme="minorHAnsi"/>
          <w:color w:val="943634" w:themeColor="accent2" w:themeShade="BF"/>
          <w:sz w:val="22"/>
          <w:szCs w:val="22"/>
          <w:lang w:val="en-US"/>
        </w:rPr>
        <w:t xml:space="preserve"> </w:t>
      </w:r>
      <w:r w:rsidRPr="00733EFB">
        <w:rPr>
          <w:rFonts w:asciiTheme="minorHAnsi" w:hAnsiTheme="minorHAnsi" w:cstheme="minorHAnsi"/>
          <w:color w:val="943634" w:themeColor="accent2" w:themeShade="BF"/>
          <w:sz w:val="22"/>
          <w:szCs w:val="22"/>
          <w:lang w:val="en-US"/>
        </w:rPr>
        <w:t>correlating the decrease of the market with an accurate decrease of the product m</w:t>
      </w:r>
      <w:r>
        <w:rPr>
          <w:rFonts w:asciiTheme="minorHAnsi" w:hAnsiTheme="minorHAnsi" w:cstheme="minorHAnsi"/>
          <w:color w:val="943634" w:themeColor="accent2" w:themeShade="BF"/>
          <w:sz w:val="22"/>
          <w:szCs w:val="22"/>
          <w:lang w:val="en-US"/>
        </w:rPr>
        <w:t>ight</w:t>
      </w:r>
      <w:r w:rsidRPr="00733EFB">
        <w:rPr>
          <w:rFonts w:asciiTheme="minorHAnsi" w:hAnsiTheme="minorHAnsi" w:cstheme="minorHAnsi"/>
          <w:color w:val="943634" w:themeColor="accent2" w:themeShade="BF"/>
          <w:sz w:val="22"/>
          <w:szCs w:val="22"/>
          <w:lang w:val="en-US"/>
        </w:rPr>
        <w:t xml:space="preserve"> prove more difficult than the current approach</w:t>
      </w:r>
      <w:r>
        <w:rPr>
          <w:rFonts w:asciiTheme="minorHAnsi" w:hAnsiTheme="minorHAnsi" w:cstheme="minorHAnsi"/>
          <w:color w:val="943634" w:themeColor="accent2" w:themeShade="BF"/>
          <w:sz w:val="22"/>
          <w:szCs w:val="22"/>
          <w:lang w:val="en-US"/>
        </w:rPr>
        <w:t xml:space="preserve">. </w:t>
      </w:r>
      <w:r w:rsidRPr="00733EFB">
        <w:rPr>
          <w:rFonts w:asciiTheme="minorHAnsi" w:hAnsiTheme="minorHAnsi" w:cstheme="minorHAnsi"/>
          <w:color w:val="943634" w:themeColor="accent2" w:themeShade="BF"/>
          <w:sz w:val="22"/>
          <w:szCs w:val="22"/>
          <w:lang w:val="en-US"/>
        </w:rPr>
        <w:t xml:space="preserve"> </w:t>
      </w:r>
      <w:r>
        <w:rPr>
          <w:rFonts w:asciiTheme="minorHAnsi" w:hAnsiTheme="minorHAnsi" w:cstheme="minorHAnsi"/>
          <w:color w:val="943634" w:themeColor="accent2" w:themeShade="BF"/>
          <w:sz w:val="22"/>
          <w:szCs w:val="22"/>
          <w:lang w:val="en-US"/>
        </w:rPr>
        <w:t>It could</w:t>
      </w:r>
      <w:r w:rsidRPr="00733EFB">
        <w:rPr>
          <w:rFonts w:asciiTheme="minorHAnsi" w:hAnsiTheme="minorHAnsi" w:cstheme="minorHAnsi"/>
          <w:color w:val="943634" w:themeColor="accent2" w:themeShade="BF"/>
          <w:sz w:val="22"/>
          <w:szCs w:val="22"/>
          <w:lang w:val="en-US"/>
        </w:rPr>
        <w:t xml:space="preserve"> give rise to the same debate </w:t>
      </w:r>
      <w:r>
        <w:rPr>
          <w:rFonts w:asciiTheme="minorHAnsi" w:hAnsiTheme="minorHAnsi" w:cstheme="minorHAnsi"/>
          <w:color w:val="943634" w:themeColor="accent2" w:themeShade="BF"/>
          <w:sz w:val="22"/>
          <w:szCs w:val="22"/>
          <w:lang w:val="en-US"/>
        </w:rPr>
        <w:t>as</w:t>
      </w:r>
      <w:r w:rsidRPr="00733EFB">
        <w:rPr>
          <w:rFonts w:asciiTheme="minorHAnsi" w:hAnsiTheme="minorHAnsi" w:cstheme="minorHAnsi"/>
          <w:color w:val="943634" w:themeColor="accent2" w:themeShade="BF"/>
          <w:sz w:val="22"/>
          <w:szCs w:val="22"/>
          <w:lang w:val="en-US"/>
        </w:rPr>
        <w:t xml:space="preserve"> the </w:t>
      </w:r>
      <w:r>
        <w:rPr>
          <w:rFonts w:asciiTheme="minorHAnsi" w:hAnsiTheme="minorHAnsi" w:cstheme="minorHAnsi"/>
          <w:color w:val="943634" w:themeColor="accent2" w:themeShade="BF"/>
          <w:sz w:val="22"/>
          <w:szCs w:val="22"/>
          <w:lang w:val="en-US"/>
        </w:rPr>
        <w:t>ongoing one on how to</w:t>
      </w:r>
      <w:r w:rsidRPr="00733EFB">
        <w:rPr>
          <w:rFonts w:asciiTheme="minorHAnsi" w:hAnsiTheme="minorHAnsi" w:cstheme="minorHAnsi"/>
          <w:color w:val="943634" w:themeColor="accent2" w:themeShade="BF"/>
          <w:sz w:val="22"/>
          <w:szCs w:val="22"/>
          <w:lang w:val="en-US"/>
        </w:rPr>
        <w:t xml:space="preserve"> achieve greater accuracy in return estimations.</w:t>
      </w:r>
    </w:p>
    <w:p w14:paraId="4BE65BC1" w14:textId="77777777" w:rsidR="0069477B" w:rsidRPr="00733EFB" w:rsidRDefault="0069477B" w:rsidP="0069477B">
      <w:pPr>
        <w:pStyle w:val="Default"/>
        <w:jc w:val="both"/>
        <w:rPr>
          <w:rFonts w:asciiTheme="minorHAnsi" w:hAnsiTheme="minorHAnsi" w:cstheme="minorHAnsi"/>
          <w:color w:val="943634" w:themeColor="accent2" w:themeShade="BF"/>
          <w:sz w:val="22"/>
          <w:szCs w:val="22"/>
          <w:lang w:val="en-US"/>
        </w:rPr>
      </w:pPr>
    </w:p>
    <w:p w14:paraId="5F5AD0E8" w14:textId="77777777" w:rsidR="0069477B" w:rsidRPr="00733EFB" w:rsidRDefault="0069477B" w:rsidP="0069477B">
      <w:pPr>
        <w:pStyle w:val="Default"/>
        <w:jc w:val="both"/>
        <w:rPr>
          <w:rFonts w:asciiTheme="minorHAnsi" w:hAnsiTheme="minorHAnsi" w:cstheme="minorHAnsi"/>
          <w:color w:val="943634" w:themeColor="accent2" w:themeShade="BF"/>
          <w:sz w:val="22"/>
          <w:szCs w:val="22"/>
          <w:lang w:val="en-US"/>
        </w:rPr>
      </w:pPr>
      <w:r>
        <w:rPr>
          <w:rFonts w:asciiTheme="minorHAnsi" w:hAnsiTheme="minorHAnsi" w:cstheme="minorHAnsi"/>
          <w:color w:val="943634" w:themeColor="accent2" w:themeShade="BF"/>
          <w:sz w:val="22"/>
          <w:szCs w:val="22"/>
          <w:lang w:val="en-US"/>
        </w:rPr>
        <w:t>In summary</w:t>
      </w:r>
      <w:r w:rsidRPr="00733EFB">
        <w:rPr>
          <w:rFonts w:asciiTheme="minorHAnsi" w:hAnsiTheme="minorHAnsi" w:cstheme="minorHAnsi"/>
          <w:color w:val="943634" w:themeColor="accent2" w:themeShade="BF"/>
          <w:sz w:val="22"/>
          <w:szCs w:val="22"/>
          <w:lang w:val="en-US"/>
        </w:rPr>
        <w:t>,</w:t>
      </w:r>
      <w:r>
        <w:rPr>
          <w:rFonts w:asciiTheme="minorHAnsi" w:hAnsiTheme="minorHAnsi" w:cstheme="minorHAnsi"/>
          <w:color w:val="943634" w:themeColor="accent2" w:themeShade="BF"/>
          <w:sz w:val="22"/>
          <w:szCs w:val="22"/>
          <w:lang w:val="en-US"/>
        </w:rPr>
        <w:t xml:space="preserve"> it seems reasonable</w:t>
      </w:r>
      <w:r w:rsidRPr="00733EFB">
        <w:rPr>
          <w:rFonts w:asciiTheme="minorHAnsi" w:hAnsiTheme="minorHAnsi" w:cstheme="minorHAnsi"/>
          <w:color w:val="943634" w:themeColor="accent2" w:themeShade="BF"/>
          <w:sz w:val="22"/>
          <w:szCs w:val="22"/>
          <w:lang w:val="en-US"/>
        </w:rPr>
        <w:t xml:space="preserve"> to replace probabilistic scenarios with </w:t>
      </w:r>
      <w:r>
        <w:rPr>
          <w:rFonts w:asciiTheme="minorHAnsi" w:hAnsiTheme="minorHAnsi" w:cstheme="minorHAnsi"/>
          <w:color w:val="943634" w:themeColor="accent2" w:themeShade="BF"/>
          <w:sz w:val="22"/>
          <w:szCs w:val="22"/>
          <w:lang w:val="en-US"/>
        </w:rPr>
        <w:t xml:space="preserve">short </w:t>
      </w:r>
      <w:r w:rsidRPr="00733EFB">
        <w:rPr>
          <w:rFonts w:asciiTheme="minorHAnsi" w:hAnsiTheme="minorHAnsi" w:cstheme="minorHAnsi"/>
          <w:color w:val="943634" w:themeColor="accent2" w:themeShade="BF"/>
          <w:sz w:val="22"/>
          <w:szCs w:val="22"/>
          <w:lang w:val="en-US"/>
        </w:rPr>
        <w:t>illustrative ones</w:t>
      </w:r>
      <w:r>
        <w:rPr>
          <w:rFonts w:asciiTheme="minorHAnsi" w:hAnsiTheme="minorHAnsi" w:cstheme="minorHAnsi"/>
          <w:color w:val="943634" w:themeColor="accent2" w:themeShade="BF"/>
          <w:sz w:val="22"/>
          <w:szCs w:val="22"/>
          <w:lang w:val="en-US"/>
        </w:rPr>
        <w:t xml:space="preserve">, </w:t>
      </w:r>
      <w:r w:rsidRPr="00733EFB">
        <w:rPr>
          <w:rFonts w:asciiTheme="minorHAnsi" w:hAnsiTheme="minorHAnsi" w:cstheme="minorHAnsi"/>
          <w:color w:val="943634" w:themeColor="accent2" w:themeShade="BF"/>
          <w:sz w:val="22"/>
          <w:szCs w:val="22"/>
          <w:lang w:val="en-US"/>
        </w:rPr>
        <w:t xml:space="preserve">which </w:t>
      </w:r>
      <w:r w:rsidRPr="00E44B42">
        <w:rPr>
          <w:rFonts w:asciiTheme="minorHAnsi" w:hAnsiTheme="minorHAnsi" w:cstheme="minorHAnsi"/>
          <w:color w:val="943634" w:themeColor="accent2" w:themeShade="BF"/>
          <w:sz w:val="22"/>
          <w:szCs w:val="22"/>
          <w:lang w:val="en-US"/>
        </w:rPr>
        <w:t xml:space="preserve">accommodate the presence of information relating to past performance since they are based on this information </w:t>
      </w:r>
      <w:r w:rsidRPr="00733EFB">
        <w:rPr>
          <w:rFonts w:asciiTheme="minorHAnsi" w:hAnsiTheme="minorHAnsi" w:cstheme="minorHAnsi"/>
          <w:color w:val="943634" w:themeColor="accent2" w:themeShade="BF"/>
          <w:sz w:val="22"/>
          <w:szCs w:val="22"/>
          <w:lang w:val="en-US"/>
        </w:rPr>
        <w:t xml:space="preserve">(see answer to </w:t>
      </w:r>
      <w:r>
        <w:rPr>
          <w:rFonts w:asciiTheme="minorHAnsi" w:hAnsiTheme="minorHAnsi" w:cstheme="minorHAnsi"/>
          <w:color w:val="943634" w:themeColor="accent2" w:themeShade="BF"/>
          <w:sz w:val="22"/>
          <w:szCs w:val="22"/>
          <w:lang w:val="en-US"/>
        </w:rPr>
        <w:t>q</w:t>
      </w:r>
      <w:r w:rsidRPr="00733EFB">
        <w:rPr>
          <w:rFonts w:asciiTheme="minorHAnsi" w:hAnsiTheme="minorHAnsi" w:cstheme="minorHAnsi"/>
          <w:color w:val="943634" w:themeColor="accent2" w:themeShade="BF"/>
          <w:sz w:val="22"/>
          <w:szCs w:val="22"/>
          <w:lang w:val="en-US"/>
        </w:rPr>
        <w:t>uestion 26 below).</w:t>
      </w:r>
      <w:r>
        <w:rPr>
          <w:rFonts w:asciiTheme="minorHAnsi" w:hAnsiTheme="minorHAnsi" w:cstheme="minorHAnsi"/>
          <w:color w:val="943634" w:themeColor="accent2" w:themeShade="BF"/>
          <w:sz w:val="22"/>
          <w:szCs w:val="22"/>
          <w:lang w:val="en-US"/>
        </w:rPr>
        <w:t xml:space="preserve"> </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17BCE7FA" w14:textId="77777777" w:rsidR="0069477B" w:rsidRPr="0069477B" w:rsidRDefault="0069477B" w:rsidP="0069477B">
      <w:pPr>
        <w:pStyle w:val="Default"/>
        <w:jc w:val="both"/>
        <w:rPr>
          <w:rFonts w:asciiTheme="minorHAnsi" w:hAnsiTheme="minorHAnsi" w:cstheme="minorHAnsi"/>
          <w:color w:val="943634" w:themeColor="accent2" w:themeShade="BF"/>
          <w:sz w:val="22"/>
          <w:szCs w:val="22"/>
          <w:lang w:val="en-US"/>
        </w:rPr>
      </w:pPr>
      <w:permStart w:id="1634935588" w:edGrp="everyone"/>
      <w:r w:rsidRPr="0069477B">
        <w:rPr>
          <w:rFonts w:asciiTheme="minorHAnsi" w:hAnsiTheme="minorHAnsi" w:cstheme="minorHAnsi"/>
          <w:color w:val="943634" w:themeColor="accent2" w:themeShade="BF"/>
          <w:sz w:val="22"/>
          <w:szCs w:val="22"/>
          <w:lang w:val="en-US"/>
        </w:rPr>
        <w:t>No, FPSB Europe believes that providing information about different types of future performance scenarios (one illustrative, the other probabilistic) in the KID would require explanations of the relationship between them, likely confusing the retail investor and not helping the investor better understand the product, or the limitations of the different scenarios presented. Moreover, as noted in our answer to question 22, retail investors would likely see probabilistic future performance scenarios as predictive of real rather than potential outcomes. The KID should only present illustrative scenarios for all products, including structured products.</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53C0DDCC"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permStart w:id="872961277" w:edGrp="everyone"/>
      <w:r w:rsidRPr="00302197">
        <w:rPr>
          <w:rFonts w:asciiTheme="minorHAnsi" w:hAnsiTheme="minorHAnsi" w:cstheme="minorHAnsi"/>
          <w:color w:val="943634" w:themeColor="accent2" w:themeShade="BF"/>
          <w:sz w:val="22"/>
          <w:szCs w:val="22"/>
          <w:lang w:val="en-US"/>
        </w:rPr>
        <w:t>Yes, illustrative scenarios should replace probabilistic scenarios – see FPSB Europe’s answers to questions 22 and 23.</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6695D689" w14:textId="77777777" w:rsidR="00302197" w:rsidRPr="00302197" w:rsidRDefault="00302197" w:rsidP="00302197">
      <w:pPr>
        <w:pStyle w:val="Default"/>
        <w:rPr>
          <w:rFonts w:asciiTheme="minorHAnsi" w:hAnsiTheme="minorHAnsi" w:cstheme="minorHAnsi"/>
          <w:color w:val="943634" w:themeColor="accent2" w:themeShade="BF"/>
          <w:sz w:val="22"/>
          <w:szCs w:val="22"/>
          <w:lang w:val="en-US"/>
        </w:rPr>
      </w:pPr>
      <w:permStart w:id="374105505" w:edGrp="everyone"/>
      <w:r w:rsidRPr="00302197">
        <w:rPr>
          <w:rFonts w:asciiTheme="minorHAnsi" w:hAnsiTheme="minorHAnsi" w:cstheme="minorHAnsi"/>
          <w:color w:val="943634" w:themeColor="accent2" w:themeShade="BF"/>
          <w:sz w:val="22"/>
          <w:szCs w:val="22"/>
          <w:lang w:val="en-US"/>
        </w:rPr>
        <w:t>Yes, see FPSB Europe’s answers to questions 22 &amp; 23.</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0563E46E" w14:textId="057E7FBF" w:rsidR="00302197" w:rsidRDefault="00302197" w:rsidP="00302197">
      <w:pPr>
        <w:pStyle w:val="Default"/>
        <w:jc w:val="both"/>
        <w:rPr>
          <w:rFonts w:asciiTheme="minorHAnsi" w:hAnsiTheme="minorHAnsi" w:cstheme="minorHAnsi"/>
          <w:color w:val="943634" w:themeColor="accent2" w:themeShade="BF"/>
          <w:sz w:val="22"/>
          <w:szCs w:val="22"/>
          <w:lang w:val="en-US"/>
        </w:rPr>
      </w:pPr>
      <w:permStart w:id="624894902" w:edGrp="everyone"/>
      <w:r w:rsidRPr="00302197">
        <w:rPr>
          <w:rFonts w:asciiTheme="minorHAnsi" w:hAnsiTheme="minorHAnsi" w:cstheme="minorHAnsi"/>
          <w:color w:val="943634" w:themeColor="accent2" w:themeShade="BF"/>
          <w:sz w:val="22"/>
          <w:szCs w:val="22"/>
          <w:lang w:val="en-US"/>
        </w:rPr>
        <w:t>Yes</w:t>
      </w:r>
      <w:r w:rsidR="006A7817">
        <w:rPr>
          <w:rFonts w:asciiTheme="minorHAnsi" w:hAnsiTheme="minorHAnsi" w:cstheme="minorHAnsi"/>
          <w:color w:val="943634" w:themeColor="accent2" w:themeShade="BF"/>
          <w:sz w:val="22"/>
          <w:szCs w:val="22"/>
          <w:lang w:val="en-US"/>
        </w:rPr>
        <w:t xml:space="preserve">, </w:t>
      </w:r>
      <w:r w:rsidRPr="00302197">
        <w:rPr>
          <w:rFonts w:asciiTheme="minorHAnsi" w:hAnsiTheme="minorHAnsi" w:cstheme="minorHAnsi"/>
          <w:color w:val="943634" w:themeColor="accent2" w:themeShade="BF"/>
          <w:sz w:val="22"/>
          <w:szCs w:val="22"/>
          <w:lang w:val="en-US"/>
        </w:rPr>
        <w:t xml:space="preserve">FPSB Europe is in </w:t>
      </w:r>
      <w:proofErr w:type="spellStart"/>
      <w:r w:rsidRPr="00302197">
        <w:rPr>
          <w:rFonts w:asciiTheme="minorHAnsi" w:hAnsiTheme="minorHAnsi" w:cstheme="minorHAnsi"/>
          <w:color w:val="943634" w:themeColor="accent2" w:themeShade="BF"/>
          <w:sz w:val="22"/>
          <w:szCs w:val="22"/>
          <w:lang w:val="en-US"/>
        </w:rPr>
        <w:t>favour</w:t>
      </w:r>
      <w:proofErr w:type="spellEnd"/>
      <w:r w:rsidRPr="00302197">
        <w:rPr>
          <w:rFonts w:asciiTheme="minorHAnsi" w:hAnsiTheme="minorHAnsi" w:cstheme="minorHAnsi"/>
          <w:color w:val="943634" w:themeColor="accent2" w:themeShade="BF"/>
          <w:sz w:val="22"/>
          <w:szCs w:val="22"/>
          <w:lang w:val="en-US"/>
        </w:rPr>
        <w:t xml:space="preserve"> of including information on past performance in the KID, for one simple reason and on one condition.</w:t>
      </w:r>
    </w:p>
    <w:p w14:paraId="60F773EA" w14:textId="77777777" w:rsidR="006A7817" w:rsidRPr="00302197" w:rsidRDefault="006A7817" w:rsidP="00302197">
      <w:pPr>
        <w:pStyle w:val="Default"/>
        <w:jc w:val="both"/>
        <w:rPr>
          <w:rFonts w:asciiTheme="minorHAnsi" w:hAnsiTheme="minorHAnsi" w:cstheme="minorHAnsi"/>
          <w:color w:val="943634" w:themeColor="accent2" w:themeShade="BF"/>
          <w:sz w:val="22"/>
          <w:szCs w:val="22"/>
          <w:lang w:val="en-US"/>
        </w:rPr>
      </w:pPr>
    </w:p>
    <w:p w14:paraId="643EFAD1"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The reason for inclusion is that information on past performance shows where the product is in the risk-return hierarchy and whether the product manager has reached its stated investment objectives in the past. The condition is – as it is currently the case for the UCITS KIID – that the information on the product’s past performance is accompanied by both a clear warning that “past performance is not an indication of future performance” and past performance information for the market index benchmark.</w:t>
      </w:r>
    </w:p>
    <w:p w14:paraId="5F29203B"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p>
    <w:p w14:paraId="47C65E63" w14:textId="5F847B88" w:rsid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The specifications for a regulatory information document like the KID require that the information and data it contains be “accurate” (i.e., should reflect either the reality or known facts), and regulatory authorities have a duty to uphold and enforce this obligation. By including elements of (possible) future performance but not (actual) past performance, the KID would fail to meet the regulatory accuracy obligation, providing instead a reduced “reasonableness obligation”. Thus, FPSB Europe believes information on past performance relative to a relevant benchmark must be provided in the KID, whenever it exists.</w:t>
      </w:r>
    </w:p>
    <w:p w14:paraId="788405AA" w14:textId="77777777" w:rsidR="006A7817" w:rsidRPr="00302197" w:rsidRDefault="006A7817" w:rsidP="00302197">
      <w:pPr>
        <w:pStyle w:val="Default"/>
        <w:jc w:val="both"/>
        <w:rPr>
          <w:rFonts w:asciiTheme="minorHAnsi" w:hAnsiTheme="minorHAnsi" w:cstheme="minorHAnsi"/>
          <w:color w:val="943634" w:themeColor="accent2" w:themeShade="BF"/>
          <w:sz w:val="22"/>
          <w:szCs w:val="22"/>
          <w:lang w:val="en-US"/>
        </w:rPr>
      </w:pPr>
    </w:p>
    <w:p w14:paraId="201FC579"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The only exception to this rule would be for structured products which do not allow the retail investor or the product manufacturer to sell or buy before maturity.</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66D4FE6C" w14:textId="12019809" w:rsidR="00302197" w:rsidRPr="00302197" w:rsidRDefault="00302197" w:rsidP="00302197">
      <w:pPr>
        <w:jc w:val="both"/>
        <w:rPr>
          <w:rFonts w:asciiTheme="minorHAnsi" w:hAnsiTheme="minorHAnsi" w:cstheme="minorHAnsi"/>
          <w:color w:val="943634" w:themeColor="accent2" w:themeShade="BF"/>
          <w:sz w:val="22"/>
          <w:szCs w:val="28"/>
          <w:lang w:val="en-US"/>
        </w:rPr>
      </w:pPr>
      <w:permStart w:id="1007688109" w:edGrp="everyone"/>
      <w:r w:rsidRPr="00302197">
        <w:rPr>
          <w:rFonts w:asciiTheme="minorHAnsi" w:hAnsiTheme="minorHAnsi" w:cstheme="minorHAnsi"/>
          <w:color w:val="943634" w:themeColor="accent2" w:themeShade="BF"/>
          <w:sz w:val="22"/>
          <w:szCs w:val="28"/>
          <w:lang w:val="en-US"/>
        </w:rPr>
        <w:t>No</w:t>
      </w:r>
      <w:r w:rsidR="006A7817">
        <w:rPr>
          <w:rFonts w:asciiTheme="minorHAnsi" w:hAnsiTheme="minorHAnsi" w:cstheme="minorHAnsi"/>
          <w:color w:val="943634" w:themeColor="accent2" w:themeShade="BF"/>
          <w:sz w:val="22"/>
          <w:szCs w:val="28"/>
          <w:lang w:val="en-US"/>
        </w:rPr>
        <w:t>, i</w:t>
      </w:r>
      <w:r w:rsidRPr="00302197">
        <w:rPr>
          <w:rFonts w:asciiTheme="minorHAnsi" w:hAnsiTheme="minorHAnsi" w:cstheme="minorHAnsi"/>
          <w:color w:val="943634" w:themeColor="accent2" w:themeShade="BF"/>
          <w:sz w:val="22"/>
          <w:szCs w:val="28"/>
          <w:lang w:val="en-US"/>
        </w:rPr>
        <w:t xml:space="preserve">ncluding information on past performance is not inconsistent with the provisions of Article 6§4 PRIIPs Regulation, which require the KID to be short and concise, easy to read and to focus on the key information that the retail investor needs. </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6E3D077D" w:rsidR="003E573C" w:rsidRPr="00302197" w:rsidRDefault="00302197" w:rsidP="003E573C">
      <w:pPr>
        <w:rPr>
          <w:rFonts w:cs="Arial"/>
          <w:color w:val="943634" w:themeColor="accent2" w:themeShade="BF"/>
        </w:rPr>
      </w:pPr>
      <w:permStart w:id="1152679739" w:edGrp="everyone"/>
      <w:r w:rsidRPr="00302197">
        <w:rPr>
          <w:rFonts w:cs="Arial"/>
          <w:color w:val="943634" w:themeColor="accent2" w:themeShade="BF"/>
        </w:rPr>
        <w:t>N/A</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1A80464F"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permStart w:id="419824169" w:edGrp="everyone"/>
      <w:r w:rsidRPr="00302197">
        <w:rPr>
          <w:rFonts w:asciiTheme="minorHAnsi" w:hAnsiTheme="minorHAnsi" w:cstheme="minorHAnsi"/>
          <w:color w:val="943634" w:themeColor="accent2" w:themeShade="BF"/>
          <w:sz w:val="22"/>
          <w:szCs w:val="22"/>
          <w:lang w:val="en-US"/>
        </w:rPr>
        <w:t xml:space="preserve">FPSB Europe agrees with the text used in the KIID regulation, considerations on market conditions and use of past performance excepted (which are confusing). The prominent warning should read: </w:t>
      </w:r>
    </w:p>
    <w:p w14:paraId="461605D0"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“Past performance is not a reliable indication of future performance”.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0B8321C5"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permStart w:id="503522783" w:edGrp="everyone"/>
      <w:r w:rsidRPr="00302197">
        <w:rPr>
          <w:rFonts w:asciiTheme="minorHAnsi" w:hAnsiTheme="minorHAnsi" w:cstheme="minorHAnsi"/>
          <w:color w:val="943634" w:themeColor="accent2" w:themeShade="BF"/>
          <w:sz w:val="22"/>
          <w:szCs w:val="22"/>
          <w:lang w:val="en-US"/>
        </w:rPr>
        <w:t xml:space="preserve">No additional narrative of this kind is required if illustrative scenarios are used to help the investor form an idea of future performance of PRIIPs and are positioned relative to the distribution of past returns.  </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Appelnotedebasdep"/>
          <w:rFonts w:cstheme="minorHAnsi"/>
          <w:iCs/>
          <w:szCs w:val="24"/>
        </w:rPr>
        <w:footnoteReference w:id="6"/>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3F024ADD"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permStart w:id="1708064826" w:edGrp="everyone"/>
      <w:r w:rsidRPr="00302197">
        <w:rPr>
          <w:rFonts w:asciiTheme="minorHAnsi" w:hAnsiTheme="minorHAnsi" w:cstheme="minorHAnsi"/>
          <w:color w:val="943634" w:themeColor="accent2" w:themeShade="BF"/>
          <w:sz w:val="22"/>
          <w:szCs w:val="22"/>
          <w:lang w:val="en-US"/>
        </w:rPr>
        <w:t xml:space="preserve">The April 2019 ESMA Q&amp;As on UCITS (in relation to the past performance shown in the KIID), which address the issue (raised by article 7§1(d) of the KIID Regulation) of when a UCITS/AIF is managed in reference to a benchmark, seem sufficiently clear and prescriptive. </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60B47C3" w:rsidR="003E573C" w:rsidRPr="00302197" w:rsidRDefault="00302197" w:rsidP="003E573C">
      <w:pPr>
        <w:rPr>
          <w:rFonts w:cs="Arial"/>
          <w:color w:val="943634" w:themeColor="accent2" w:themeShade="BF"/>
        </w:rPr>
      </w:pPr>
      <w:permStart w:id="320603426" w:edGrp="everyone"/>
      <w:r w:rsidRPr="00302197">
        <w:rPr>
          <w:rFonts w:cs="Arial"/>
          <w:color w:val="943634" w:themeColor="accent2" w:themeShade="BF"/>
        </w:rPr>
        <w:t>N/A</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6F74114A" w14:textId="1F9D9814" w:rsidR="00302197" w:rsidRPr="00302197" w:rsidRDefault="00302197" w:rsidP="00302197">
      <w:pPr>
        <w:pStyle w:val="Default"/>
        <w:rPr>
          <w:rFonts w:asciiTheme="minorHAnsi" w:hAnsiTheme="minorHAnsi" w:cstheme="minorHAnsi"/>
          <w:color w:val="943634" w:themeColor="accent2" w:themeShade="BF"/>
          <w:sz w:val="22"/>
          <w:szCs w:val="22"/>
          <w:lang w:val="en-US"/>
        </w:rPr>
      </w:pPr>
      <w:permStart w:id="1802452064" w:edGrp="everyone"/>
      <w:r w:rsidRPr="00302197">
        <w:rPr>
          <w:rFonts w:asciiTheme="minorHAnsi" w:hAnsiTheme="minorHAnsi" w:cstheme="minorHAnsi"/>
          <w:color w:val="943634" w:themeColor="accent2" w:themeShade="BF"/>
          <w:sz w:val="22"/>
          <w:szCs w:val="22"/>
          <w:lang w:val="en-US"/>
        </w:rPr>
        <w:t>Yes</w:t>
      </w:r>
      <w:r w:rsidR="006A7817">
        <w:rPr>
          <w:rFonts w:asciiTheme="minorHAnsi" w:hAnsiTheme="minorHAnsi" w:cstheme="minorHAnsi"/>
          <w:color w:val="943634" w:themeColor="accent2" w:themeShade="BF"/>
          <w:sz w:val="22"/>
          <w:szCs w:val="22"/>
          <w:lang w:val="en-US"/>
        </w:rPr>
        <w:t>, s</w:t>
      </w:r>
      <w:r w:rsidRPr="00302197">
        <w:rPr>
          <w:rFonts w:asciiTheme="minorHAnsi" w:hAnsiTheme="minorHAnsi" w:cstheme="minorHAnsi"/>
          <w:color w:val="943634" w:themeColor="accent2" w:themeShade="BF"/>
          <w:sz w:val="22"/>
          <w:szCs w:val="22"/>
          <w:lang w:val="en-US"/>
        </w:rPr>
        <w:t>ee FPSB Europe’s answer to question 7.</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1E6EF4B7"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permStart w:id="1498437863" w:edGrp="everyone"/>
      <w:r w:rsidRPr="00302197">
        <w:rPr>
          <w:rFonts w:asciiTheme="minorHAnsi" w:hAnsiTheme="minorHAnsi" w:cstheme="minorHAnsi"/>
          <w:color w:val="943634" w:themeColor="accent2" w:themeShade="BF"/>
          <w:sz w:val="22"/>
          <w:szCs w:val="22"/>
          <w:lang w:val="en-US"/>
        </w:rPr>
        <w:t>FPSB Europe’s answer to question 7 addresses this issue.</w:t>
      </w:r>
    </w:p>
    <w:permEnd w:id="1498437863"/>
    <w:p w14:paraId="29F7B36D" w14:textId="49EE9F56"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546BD9C9" w14:textId="7BDFEB30" w:rsidR="00302197" w:rsidRDefault="00302197" w:rsidP="00302197">
      <w:pPr>
        <w:pStyle w:val="Default"/>
        <w:jc w:val="both"/>
        <w:rPr>
          <w:rFonts w:asciiTheme="minorHAnsi" w:hAnsiTheme="minorHAnsi" w:cstheme="minorHAnsi"/>
          <w:color w:val="943634" w:themeColor="accent2" w:themeShade="BF"/>
          <w:sz w:val="22"/>
          <w:szCs w:val="22"/>
          <w:lang w:val="en-US"/>
        </w:rPr>
      </w:pPr>
      <w:permStart w:id="621350576" w:edGrp="everyone"/>
      <w:r w:rsidRPr="00302197">
        <w:rPr>
          <w:rFonts w:asciiTheme="minorHAnsi" w:hAnsiTheme="minorHAnsi" w:cstheme="minorHAnsi"/>
          <w:color w:val="943634" w:themeColor="accent2" w:themeShade="BF"/>
          <w:sz w:val="22"/>
          <w:szCs w:val="22"/>
          <w:lang w:val="en-US"/>
        </w:rPr>
        <w:t xml:space="preserve">FPSB Europe believes that the ESAs should consider standardizing the RHP (recommended holding periods) or define an intermediary point common to all products. </w:t>
      </w:r>
    </w:p>
    <w:p w14:paraId="584E8BEB" w14:textId="77777777" w:rsidR="006A7817" w:rsidRPr="00302197" w:rsidRDefault="006A7817" w:rsidP="00302197">
      <w:pPr>
        <w:pStyle w:val="Default"/>
        <w:jc w:val="both"/>
        <w:rPr>
          <w:rFonts w:asciiTheme="minorHAnsi" w:hAnsiTheme="minorHAnsi" w:cstheme="minorHAnsi"/>
          <w:color w:val="943634" w:themeColor="accent2" w:themeShade="BF"/>
          <w:sz w:val="22"/>
          <w:szCs w:val="22"/>
          <w:lang w:val="en-US"/>
        </w:rPr>
      </w:pPr>
    </w:p>
    <w:p w14:paraId="488EDB1F" w14:textId="742BF8A5" w:rsid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Presenting an average cost figure would not support product comparability and could misguide retail investors to favor longer-term products at the expense of more suitable products (because of costs dilution over time).</w:t>
      </w:r>
    </w:p>
    <w:p w14:paraId="55EED810" w14:textId="77777777" w:rsidR="006A7817" w:rsidRPr="00302197" w:rsidRDefault="006A7817" w:rsidP="00302197">
      <w:pPr>
        <w:pStyle w:val="Default"/>
        <w:jc w:val="both"/>
        <w:rPr>
          <w:rFonts w:asciiTheme="minorHAnsi" w:hAnsiTheme="minorHAnsi" w:cstheme="minorHAnsi"/>
          <w:color w:val="943634" w:themeColor="accent2" w:themeShade="BF"/>
          <w:sz w:val="22"/>
          <w:szCs w:val="22"/>
          <w:lang w:val="en-US"/>
        </w:rPr>
      </w:pPr>
    </w:p>
    <w:p w14:paraId="2B790BB4"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 xml:space="preserve">FPSB Europe agrees with the ESAs about the risk of information overload for retail investors, and suggests not to present both an annual average cost figure and a total (accumulated) costs figure. </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1CBC9257" w14:textId="1F392950" w:rsidR="00302197" w:rsidRPr="00302197" w:rsidRDefault="00302197" w:rsidP="00302197">
      <w:pPr>
        <w:jc w:val="both"/>
        <w:rPr>
          <w:rFonts w:asciiTheme="minorHAnsi" w:hAnsiTheme="minorHAnsi" w:cstheme="minorHAnsi"/>
          <w:color w:val="943634" w:themeColor="accent2" w:themeShade="BF"/>
          <w:sz w:val="22"/>
          <w:szCs w:val="28"/>
          <w:lang w:val="en-US"/>
        </w:rPr>
      </w:pPr>
      <w:permStart w:id="354879508" w:edGrp="everyone"/>
      <w:r w:rsidRPr="00302197">
        <w:rPr>
          <w:rFonts w:asciiTheme="minorHAnsi" w:hAnsiTheme="minorHAnsi" w:cstheme="minorHAnsi"/>
          <w:color w:val="943634" w:themeColor="accent2" w:themeShade="BF"/>
          <w:sz w:val="22"/>
          <w:szCs w:val="28"/>
          <w:lang w:val="en-US"/>
        </w:rPr>
        <w:t>Yes</w:t>
      </w:r>
      <w:r w:rsidR="006A7817">
        <w:rPr>
          <w:rFonts w:asciiTheme="minorHAnsi" w:hAnsiTheme="minorHAnsi" w:cstheme="minorHAnsi"/>
          <w:color w:val="943634" w:themeColor="accent2" w:themeShade="BF"/>
          <w:sz w:val="22"/>
          <w:szCs w:val="28"/>
          <w:lang w:val="en-US"/>
        </w:rPr>
        <w:t xml:space="preserve">, </w:t>
      </w:r>
      <w:r w:rsidRPr="00302197">
        <w:rPr>
          <w:rFonts w:asciiTheme="minorHAnsi" w:hAnsiTheme="minorHAnsi" w:cstheme="minorHAnsi"/>
          <w:color w:val="943634" w:themeColor="accent2" w:themeShade="BF"/>
          <w:sz w:val="22"/>
          <w:szCs w:val="28"/>
          <w:lang w:val="en-US"/>
        </w:rPr>
        <w:t>FPSB Europe believes costs should be presented to the retail investor both in monetary terms and as a percentage (%), following the provisions of article 8§3 (f) of the PRIIPs Regulation.</w:t>
      </w:r>
    </w:p>
    <w:p w14:paraId="0946D76B" w14:textId="77777777" w:rsidR="00302197" w:rsidRPr="00302197" w:rsidRDefault="00302197" w:rsidP="00302197">
      <w:pPr>
        <w:jc w:val="both"/>
        <w:rPr>
          <w:rFonts w:asciiTheme="minorHAnsi" w:hAnsiTheme="minorHAnsi" w:cstheme="minorHAnsi"/>
          <w:color w:val="943634" w:themeColor="accent2" w:themeShade="BF"/>
          <w:sz w:val="22"/>
          <w:szCs w:val="28"/>
          <w:lang w:val="en-US"/>
        </w:rPr>
      </w:pPr>
    </w:p>
    <w:p w14:paraId="7DC2E61B" w14:textId="77777777" w:rsidR="00302197" w:rsidRPr="00302197" w:rsidRDefault="00302197" w:rsidP="00302197">
      <w:pPr>
        <w:jc w:val="both"/>
        <w:rPr>
          <w:rFonts w:asciiTheme="minorHAnsi" w:hAnsiTheme="minorHAnsi" w:cstheme="minorHAnsi"/>
          <w:color w:val="943634" w:themeColor="accent2" w:themeShade="BF"/>
          <w:sz w:val="22"/>
          <w:szCs w:val="28"/>
          <w:lang w:val="en-US"/>
        </w:rPr>
      </w:pPr>
      <w:r w:rsidRPr="00302197">
        <w:rPr>
          <w:rFonts w:asciiTheme="minorHAnsi" w:hAnsiTheme="minorHAnsi" w:cstheme="minorHAnsi"/>
          <w:color w:val="943634" w:themeColor="accent2" w:themeShade="BF"/>
          <w:sz w:val="22"/>
          <w:szCs w:val="28"/>
          <w:lang w:val="en-US"/>
        </w:rPr>
        <w:t xml:space="preserve">Currently, MiFID II requires disclosure of costs deducted from the investment; PRIIPs regulation requires disclosure of the impact of costs on returns, measured by a “Reduction-in-Yield”. The misalignment is not addressed by including costs in percentage terms. </w:t>
      </w:r>
    </w:p>
    <w:p w14:paraId="39028987" w14:textId="77777777" w:rsidR="00302197" w:rsidRPr="00302197" w:rsidRDefault="00302197" w:rsidP="00302197">
      <w:pPr>
        <w:jc w:val="both"/>
        <w:rPr>
          <w:rFonts w:asciiTheme="minorHAnsi" w:hAnsiTheme="minorHAnsi" w:cstheme="minorHAnsi"/>
          <w:color w:val="943634" w:themeColor="accent2" w:themeShade="BF"/>
          <w:sz w:val="22"/>
          <w:szCs w:val="28"/>
          <w:lang w:val="en-US"/>
        </w:rPr>
      </w:pPr>
    </w:p>
    <w:p w14:paraId="3162D34A" w14:textId="77777777" w:rsidR="00302197" w:rsidRPr="00302197" w:rsidRDefault="00302197" w:rsidP="00302197">
      <w:pPr>
        <w:jc w:val="both"/>
        <w:rPr>
          <w:rFonts w:asciiTheme="minorHAnsi" w:hAnsiTheme="minorHAnsi" w:cstheme="minorHAnsi"/>
          <w:color w:val="943634" w:themeColor="accent2" w:themeShade="BF"/>
          <w:sz w:val="22"/>
          <w:szCs w:val="28"/>
          <w:lang w:val="en-US"/>
        </w:rPr>
      </w:pPr>
      <w:r w:rsidRPr="00302197">
        <w:rPr>
          <w:rFonts w:asciiTheme="minorHAnsi" w:hAnsiTheme="minorHAnsi" w:cstheme="minorHAnsi"/>
          <w:color w:val="943634" w:themeColor="accent2" w:themeShade="BF"/>
          <w:sz w:val="22"/>
          <w:szCs w:val="28"/>
          <w:lang w:val="en-US"/>
        </w:rPr>
        <w:t xml:space="preserve">FPSB Europe welcomes the ESAs intention to work on eliminating these differences in disclosure requirements. </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0881A609" w:rsidR="003E573C" w:rsidRPr="00302197" w:rsidRDefault="00302197" w:rsidP="003E573C">
      <w:pPr>
        <w:rPr>
          <w:rFonts w:cs="Arial"/>
          <w:color w:val="943634" w:themeColor="accent2" w:themeShade="BF"/>
        </w:rPr>
      </w:pPr>
      <w:permStart w:id="80752736" w:edGrp="everyone"/>
      <w:r w:rsidRPr="00302197">
        <w:rPr>
          <w:rFonts w:cs="Arial"/>
          <w:color w:val="943634" w:themeColor="accent2" w:themeShade="BF"/>
        </w:rPr>
        <w:t>N/A</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1BBED7A3" w:rsidR="003E573C" w:rsidRPr="00302197" w:rsidRDefault="00302197" w:rsidP="003E573C">
      <w:pPr>
        <w:rPr>
          <w:rFonts w:cs="Arial"/>
          <w:color w:val="943634" w:themeColor="accent2" w:themeShade="BF"/>
        </w:rPr>
      </w:pPr>
      <w:permStart w:id="2047886229" w:edGrp="everyone"/>
      <w:r w:rsidRPr="00302197">
        <w:rPr>
          <w:rFonts w:cs="Arial"/>
          <w:color w:val="943634" w:themeColor="accent2" w:themeShade="BF"/>
        </w:rPr>
        <w:t>N/A</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F8B825F"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permStart w:id="777852593" w:edGrp="everyone"/>
      <w:r w:rsidRPr="00302197">
        <w:rPr>
          <w:rFonts w:asciiTheme="minorHAnsi" w:hAnsiTheme="minorHAnsi" w:cstheme="minorHAnsi"/>
          <w:color w:val="943634" w:themeColor="accent2" w:themeShade="BF"/>
          <w:sz w:val="22"/>
          <w:szCs w:val="22"/>
          <w:lang w:val="en-US"/>
        </w:rPr>
        <w:t xml:space="preserve">FPSB Europe has a preference for option 4. </w:t>
      </w:r>
    </w:p>
    <w:p w14:paraId="6D314BDA" w14:textId="77777777" w:rsidR="006A7817" w:rsidRDefault="006A7817" w:rsidP="00302197">
      <w:pPr>
        <w:pStyle w:val="Default"/>
        <w:jc w:val="both"/>
        <w:rPr>
          <w:rFonts w:asciiTheme="minorHAnsi" w:hAnsiTheme="minorHAnsi" w:cstheme="minorHAnsi"/>
          <w:color w:val="943634" w:themeColor="accent2" w:themeShade="BF"/>
          <w:sz w:val="22"/>
          <w:szCs w:val="22"/>
          <w:lang w:val="en-US"/>
        </w:rPr>
      </w:pPr>
    </w:p>
    <w:p w14:paraId="66154E67" w14:textId="1737DA84" w:rsid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 xml:space="preserve">Maintaining disclosure of costs in monetary terms for all PRIIPs is preferable, given the generally low level of understanding of percentages and composition of change rates among retail investors. </w:t>
      </w:r>
    </w:p>
    <w:p w14:paraId="54C6B838" w14:textId="77777777" w:rsidR="006A7817" w:rsidRPr="00302197" w:rsidRDefault="006A7817" w:rsidP="00302197">
      <w:pPr>
        <w:pStyle w:val="Default"/>
        <w:jc w:val="both"/>
        <w:rPr>
          <w:rFonts w:asciiTheme="minorHAnsi" w:hAnsiTheme="minorHAnsi" w:cstheme="minorHAnsi"/>
          <w:color w:val="943634" w:themeColor="accent2" w:themeShade="BF"/>
          <w:sz w:val="22"/>
          <w:szCs w:val="22"/>
          <w:lang w:val="en-US"/>
        </w:rPr>
      </w:pPr>
    </w:p>
    <w:p w14:paraId="5A6DA1BA"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 xml:space="preserve">Given that option 3 presents more information on the breakdown of costs, FPSB Europe believes this increases the risk of information overload for the retail investor, as outlined by the ESAs (in page 36). </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4389C099"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permStart w:id="1928422042" w:edGrp="everyone"/>
      <w:r w:rsidRPr="00302197">
        <w:rPr>
          <w:rFonts w:asciiTheme="minorHAnsi" w:hAnsiTheme="minorHAnsi" w:cstheme="minorHAnsi"/>
          <w:color w:val="943634" w:themeColor="accent2" w:themeShade="BF"/>
          <w:sz w:val="22"/>
          <w:szCs w:val="22"/>
          <w:lang w:val="en-US"/>
        </w:rPr>
        <w:t>FPSB Europe prefers option 4 because the purpose of the KID is to be simple and concise, and understandable by the retail investor. If product manufacturers wish to provide additional, more in-depth information, they can make a cross reference underneath the table to the PRIIP Prospectus.</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135EB456" w14:textId="66961402" w:rsidR="00302197" w:rsidRDefault="00302197" w:rsidP="00302197">
      <w:pPr>
        <w:pStyle w:val="Default"/>
        <w:jc w:val="both"/>
        <w:rPr>
          <w:rFonts w:asciiTheme="minorHAnsi" w:hAnsiTheme="minorHAnsi" w:cstheme="minorHAnsi"/>
          <w:color w:val="943634" w:themeColor="accent2" w:themeShade="BF"/>
          <w:sz w:val="22"/>
          <w:szCs w:val="22"/>
          <w:lang w:val="en-US"/>
        </w:rPr>
      </w:pPr>
      <w:permStart w:id="855140723" w:edGrp="everyone"/>
      <w:r w:rsidRPr="00302197">
        <w:rPr>
          <w:rFonts w:asciiTheme="minorHAnsi" w:hAnsiTheme="minorHAnsi" w:cstheme="minorHAnsi"/>
          <w:color w:val="943634" w:themeColor="accent2" w:themeShade="BF"/>
          <w:sz w:val="22"/>
          <w:szCs w:val="22"/>
          <w:lang w:val="en-US"/>
        </w:rPr>
        <w:t>FPSB Europe believes that a more meaningful manner to present the impact of costs would have been to display the cumulative reduction of the gross return due to costs, such as: gross performance (before costs): 175%; net performance (after costs): 125% =&gt; cumulative reduction due to costs of 50 percentage points out of the total profit, which represents 66%, or 6€ out of 10€.</w:t>
      </w:r>
    </w:p>
    <w:p w14:paraId="268A7E80" w14:textId="77777777" w:rsidR="006A7817" w:rsidRPr="00302197" w:rsidRDefault="006A7817" w:rsidP="00302197">
      <w:pPr>
        <w:pStyle w:val="Default"/>
        <w:jc w:val="both"/>
        <w:rPr>
          <w:rFonts w:asciiTheme="minorHAnsi" w:hAnsiTheme="minorHAnsi" w:cstheme="minorHAnsi"/>
          <w:color w:val="943634" w:themeColor="accent2" w:themeShade="BF"/>
          <w:sz w:val="22"/>
          <w:szCs w:val="22"/>
          <w:lang w:val="en-US"/>
        </w:rPr>
      </w:pPr>
    </w:p>
    <w:p w14:paraId="3338F33A" w14:textId="77777777" w:rsidR="00302197" w:rsidRPr="00302197" w:rsidRDefault="00302197" w:rsidP="00302197">
      <w:pPr>
        <w:pStyle w:val="Default"/>
        <w:jc w:val="both"/>
        <w:rPr>
          <w:rFonts w:asciiTheme="minorHAnsi" w:hAnsiTheme="minorHAnsi" w:cstheme="minorHAnsi"/>
          <w:color w:val="943634" w:themeColor="accent2" w:themeShade="BF"/>
          <w:sz w:val="22"/>
          <w:szCs w:val="22"/>
          <w:lang w:val="en-US"/>
        </w:rPr>
      </w:pPr>
      <w:r w:rsidRPr="00302197">
        <w:rPr>
          <w:rFonts w:asciiTheme="minorHAnsi" w:hAnsiTheme="minorHAnsi" w:cstheme="minorHAnsi"/>
          <w:color w:val="943634" w:themeColor="accent2" w:themeShade="BF"/>
          <w:sz w:val="22"/>
          <w:szCs w:val="22"/>
          <w:lang w:val="en-US"/>
        </w:rPr>
        <w:t>This approach would give retail investors a better understanding of the scale size of the costs than what they would likely understand from being presented with the difference between the annualized gross and net returns at different periods.</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50C9A2E" w14:textId="234D1E4D" w:rsidR="00302197" w:rsidRDefault="00302197" w:rsidP="00302197">
      <w:pPr>
        <w:jc w:val="both"/>
        <w:rPr>
          <w:rFonts w:asciiTheme="minorHAnsi" w:hAnsiTheme="minorHAnsi" w:cstheme="minorHAnsi"/>
          <w:color w:val="943634" w:themeColor="accent2" w:themeShade="BF"/>
          <w:sz w:val="22"/>
          <w:szCs w:val="28"/>
          <w:lang w:val="en-US"/>
        </w:rPr>
      </w:pPr>
      <w:permStart w:id="1223957116" w:edGrp="everyone"/>
      <w:r w:rsidRPr="00302197">
        <w:rPr>
          <w:rFonts w:asciiTheme="minorHAnsi" w:hAnsiTheme="minorHAnsi" w:cstheme="minorHAnsi"/>
          <w:color w:val="943634" w:themeColor="accent2" w:themeShade="BF"/>
          <w:sz w:val="22"/>
          <w:szCs w:val="28"/>
          <w:lang w:val="en-US"/>
        </w:rPr>
        <w:t>Yes</w:t>
      </w:r>
      <w:r w:rsidR="006A7817">
        <w:rPr>
          <w:rFonts w:asciiTheme="minorHAnsi" w:hAnsiTheme="minorHAnsi" w:cstheme="minorHAnsi"/>
          <w:color w:val="943634" w:themeColor="accent2" w:themeShade="BF"/>
          <w:sz w:val="22"/>
          <w:szCs w:val="28"/>
          <w:lang w:val="en-US"/>
        </w:rPr>
        <w:t>, f</w:t>
      </w:r>
      <w:r w:rsidRPr="00302197">
        <w:rPr>
          <w:rFonts w:asciiTheme="minorHAnsi" w:hAnsiTheme="minorHAnsi" w:cstheme="minorHAnsi"/>
          <w:color w:val="943634" w:themeColor="accent2" w:themeShade="BF"/>
          <w:sz w:val="22"/>
          <w:szCs w:val="28"/>
          <w:lang w:val="en-US"/>
        </w:rPr>
        <w:t>or the benefit of retail investors, and in the interest of clarity and simplicity, FPSB Europe suggests to remove the confusing and difficult to understand Reduction-in-Yield (</w:t>
      </w:r>
      <w:proofErr w:type="spellStart"/>
      <w:r w:rsidRPr="00302197">
        <w:rPr>
          <w:rFonts w:asciiTheme="minorHAnsi" w:hAnsiTheme="minorHAnsi" w:cstheme="minorHAnsi"/>
          <w:color w:val="943634" w:themeColor="accent2" w:themeShade="BF"/>
          <w:sz w:val="22"/>
          <w:szCs w:val="28"/>
          <w:lang w:val="en-US"/>
        </w:rPr>
        <w:t>RiY</w:t>
      </w:r>
      <w:proofErr w:type="spellEnd"/>
      <w:r w:rsidRPr="00302197">
        <w:rPr>
          <w:rFonts w:asciiTheme="minorHAnsi" w:hAnsiTheme="minorHAnsi" w:cstheme="minorHAnsi"/>
          <w:color w:val="943634" w:themeColor="accent2" w:themeShade="BF"/>
          <w:sz w:val="22"/>
          <w:szCs w:val="28"/>
          <w:lang w:val="en-US"/>
        </w:rPr>
        <w:t>) measurement at different holding periods, based on an undisclosed performance scenario, and replace it with actual costs, as is currently the case with UCITS KIID, or with the contractual costs. For those products whose costs are unknown before conclusion of the contract, the KID should clearly indicate the costs are “unknown” rather than presenting cost estimates.</w:t>
      </w:r>
    </w:p>
    <w:p w14:paraId="60903581" w14:textId="77777777" w:rsidR="006A7817" w:rsidRPr="00302197" w:rsidRDefault="006A7817" w:rsidP="00302197">
      <w:pPr>
        <w:jc w:val="both"/>
        <w:rPr>
          <w:rFonts w:asciiTheme="minorHAnsi" w:hAnsiTheme="minorHAnsi" w:cstheme="minorHAnsi"/>
          <w:color w:val="943634" w:themeColor="accent2" w:themeShade="BF"/>
          <w:sz w:val="22"/>
          <w:szCs w:val="28"/>
          <w:lang w:val="en-US"/>
        </w:rPr>
      </w:pPr>
    </w:p>
    <w:p w14:paraId="1F839D25" w14:textId="77777777" w:rsidR="00302197" w:rsidRPr="00302197" w:rsidRDefault="00302197" w:rsidP="00302197">
      <w:pPr>
        <w:jc w:val="both"/>
        <w:rPr>
          <w:rFonts w:asciiTheme="minorHAnsi" w:hAnsiTheme="minorHAnsi" w:cstheme="minorHAnsi"/>
          <w:color w:val="943634" w:themeColor="accent2" w:themeShade="BF"/>
          <w:sz w:val="22"/>
          <w:szCs w:val="28"/>
          <w:lang w:val="en-US"/>
        </w:rPr>
      </w:pPr>
      <w:r w:rsidRPr="00302197">
        <w:rPr>
          <w:rFonts w:asciiTheme="minorHAnsi" w:hAnsiTheme="minorHAnsi" w:cstheme="minorHAnsi"/>
          <w:color w:val="943634" w:themeColor="accent2" w:themeShade="BF"/>
          <w:sz w:val="22"/>
          <w:szCs w:val="28"/>
          <w:lang w:val="en-US"/>
        </w:rPr>
        <w:t xml:space="preserve">The introduction of the </w:t>
      </w:r>
      <w:proofErr w:type="spellStart"/>
      <w:r w:rsidRPr="00302197">
        <w:rPr>
          <w:rFonts w:asciiTheme="minorHAnsi" w:hAnsiTheme="minorHAnsi" w:cstheme="minorHAnsi"/>
          <w:color w:val="943634" w:themeColor="accent2" w:themeShade="BF"/>
          <w:sz w:val="22"/>
          <w:szCs w:val="28"/>
          <w:lang w:val="en-US"/>
        </w:rPr>
        <w:t>RiY</w:t>
      </w:r>
      <w:proofErr w:type="spellEnd"/>
      <w:r w:rsidRPr="00302197">
        <w:rPr>
          <w:rFonts w:asciiTheme="minorHAnsi" w:hAnsiTheme="minorHAnsi" w:cstheme="minorHAnsi"/>
          <w:color w:val="943634" w:themeColor="accent2" w:themeShade="BF"/>
          <w:sz w:val="22"/>
          <w:szCs w:val="28"/>
          <w:lang w:val="en-US"/>
        </w:rPr>
        <w:t xml:space="preserve"> does not require a Level 1 review as it is a discretionary choice on the part of the EC and of the ESAs. According to the relevant provision in the PRIIPs Regulation, the KID must only disclose costs “by means of summary indicators and […] total aggregated costs”. As such, modifying the manner to calculate and present costs may prove the simplest task of the ESAs in this Level 2 review process.</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1F869FD2" w:rsidR="003E573C" w:rsidRPr="00FB7D46" w:rsidRDefault="00FB7D46" w:rsidP="003E573C">
      <w:pPr>
        <w:rPr>
          <w:rFonts w:cs="Arial"/>
          <w:color w:val="943634" w:themeColor="accent2" w:themeShade="BF"/>
        </w:rPr>
      </w:pPr>
      <w:permStart w:id="1305246923" w:edGrp="everyone"/>
      <w:r w:rsidRPr="00FB7D46">
        <w:rPr>
          <w:rFonts w:cs="Arial"/>
          <w:color w:val="943634" w:themeColor="accent2" w:themeShade="BF"/>
        </w:rPr>
        <w:t>N/A</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1D016032" w14:textId="0EF55D50" w:rsidR="00FB7D46" w:rsidRDefault="00FB7D46" w:rsidP="00FB7D46">
      <w:pPr>
        <w:jc w:val="both"/>
        <w:rPr>
          <w:rFonts w:asciiTheme="minorHAnsi" w:hAnsiTheme="minorHAnsi" w:cstheme="minorHAnsi"/>
          <w:color w:val="943634" w:themeColor="accent2" w:themeShade="BF"/>
          <w:sz w:val="22"/>
          <w:szCs w:val="28"/>
          <w:lang w:val="en-US"/>
        </w:rPr>
      </w:pPr>
      <w:permStart w:id="700270871" w:edGrp="everyone"/>
      <w:r w:rsidRPr="00FB7D46">
        <w:rPr>
          <w:rFonts w:asciiTheme="minorHAnsi" w:hAnsiTheme="minorHAnsi" w:cstheme="minorHAnsi"/>
          <w:color w:val="943634" w:themeColor="accent2" w:themeShade="BF"/>
          <w:sz w:val="22"/>
          <w:szCs w:val="28"/>
          <w:lang w:val="en-US"/>
        </w:rPr>
        <w:t>FPSB Europe advises the ESAs to keep the UCITS KIID as the required pre-contractual information document on an investment product for professional investors, and that professional investors receive only the UCITS KIID.</w:t>
      </w:r>
    </w:p>
    <w:p w14:paraId="76096D06" w14:textId="77777777" w:rsidR="006A7817" w:rsidRPr="00FB7D46" w:rsidRDefault="006A7817" w:rsidP="00FB7D46">
      <w:pPr>
        <w:jc w:val="both"/>
        <w:rPr>
          <w:rFonts w:asciiTheme="minorHAnsi" w:hAnsiTheme="minorHAnsi" w:cstheme="minorHAnsi"/>
          <w:color w:val="943634" w:themeColor="accent2" w:themeShade="BF"/>
          <w:sz w:val="22"/>
          <w:szCs w:val="28"/>
          <w:lang w:val="en-US"/>
        </w:rPr>
      </w:pPr>
    </w:p>
    <w:p w14:paraId="58D4256B" w14:textId="77777777" w:rsidR="00FB7D46" w:rsidRPr="00FB7D46" w:rsidRDefault="00FB7D46" w:rsidP="00FB7D46">
      <w:pPr>
        <w:jc w:val="both"/>
        <w:rPr>
          <w:rFonts w:asciiTheme="minorHAnsi" w:hAnsiTheme="minorHAnsi" w:cstheme="minorHAnsi"/>
          <w:color w:val="943634" w:themeColor="accent2" w:themeShade="BF"/>
          <w:sz w:val="22"/>
          <w:szCs w:val="28"/>
          <w:lang w:val="en-US"/>
        </w:rPr>
      </w:pPr>
      <w:r w:rsidRPr="00FB7D46">
        <w:rPr>
          <w:rFonts w:asciiTheme="minorHAnsi" w:hAnsiTheme="minorHAnsi" w:cstheme="minorHAnsi"/>
          <w:color w:val="943634" w:themeColor="accent2" w:themeShade="BF"/>
          <w:sz w:val="22"/>
          <w:szCs w:val="28"/>
          <w:lang w:val="en-US"/>
        </w:rPr>
        <w:t>FPSB Europe suggests that the ESAs introduce a provision in the PRIIPs Level 2 regulation by which retail investors can opt out of the PRIIPs KID in favor of being provided, instead, with the UCITS KIID.</w:t>
      </w:r>
    </w:p>
    <w:p w14:paraId="4EAB5CA3" w14:textId="77777777" w:rsidR="006A7817" w:rsidRDefault="006A7817" w:rsidP="00FB7D46">
      <w:pPr>
        <w:jc w:val="both"/>
        <w:rPr>
          <w:rFonts w:asciiTheme="minorHAnsi" w:hAnsiTheme="minorHAnsi" w:cstheme="minorHAnsi"/>
          <w:color w:val="943634" w:themeColor="accent2" w:themeShade="BF"/>
          <w:sz w:val="22"/>
          <w:szCs w:val="28"/>
          <w:lang w:val="en-US"/>
        </w:rPr>
      </w:pPr>
    </w:p>
    <w:p w14:paraId="5DAC701B" w14:textId="10DB7886" w:rsidR="00FB7D46" w:rsidRPr="00FB7D46" w:rsidRDefault="00FB7D46" w:rsidP="00FB7D46">
      <w:pPr>
        <w:jc w:val="both"/>
        <w:rPr>
          <w:rFonts w:asciiTheme="minorHAnsi" w:hAnsiTheme="minorHAnsi" w:cstheme="minorHAnsi"/>
          <w:color w:val="943634" w:themeColor="accent2" w:themeShade="BF"/>
          <w:sz w:val="22"/>
          <w:szCs w:val="28"/>
          <w:lang w:val="en-US"/>
        </w:rPr>
      </w:pPr>
      <w:r w:rsidRPr="00FB7D46">
        <w:rPr>
          <w:rFonts w:asciiTheme="minorHAnsi" w:hAnsiTheme="minorHAnsi" w:cstheme="minorHAnsi"/>
          <w:color w:val="943634" w:themeColor="accent2" w:themeShade="BF"/>
          <w:sz w:val="22"/>
          <w:szCs w:val="28"/>
          <w:lang w:val="en-US"/>
        </w:rPr>
        <w:t>The ESA could introduce the right to opt out for UCITS while the Level I PRIIPs review is being completed, and make it permanent after that.</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0CFAC223" w14:textId="77777777" w:rsidR="00FB7D46" w:rsidRPr="00FB7D46" w:rsidRDefault="00FB7D46" w:rsidP="00FB7D46">
      <w:pPr>
        <w:pStyle w:val="Default"/>
        <w:jc w:val="both"/>
        <w:rPr>
          <w:rFonts w:asciiTheme="minorHAnsi" w:hAnsiTheme="minorHAnsi" w:cstheme="minorHAnsi"/>
          <w:color w:val="943634" w:themeColor="accent2" w:themeShade="BF"/>
          <w:sz w:val="22"/>
          <w:szCs w:val="22"/>
          <w:lang w:val="en-US"/>
        </w:rPr>
      </w:pPr>
      <w:permStart w:id="649920829" w:edGrp="everyone"/>
      <w:r w:rsidRPr="00FB7D46">
        <w:rPr>
          <w:rFonts w:asciiTheme="minorHAnsi" w:hAnsiTheme="minorHAnsi" w:cstheme="minorHAnsi"/>
          <w:color w:val="943634" w:themeColor="accent2" w:themeShade="BF"/>
          <w:sz w:val="22"/>
          <w:szCs w:val="22"/>
          <w:lang w:val="en-US"/>
        </w:rPr>
        <w:t xml:space="preserve">FPSB Europe believes that the difference in wording between the Guidelines for UCITS and Article 13(4) of the PRIIPs Regulation is justified from the point of view of retail investors: whereas the UCITS KIID focuses on past data – which the investor receives before entering the contract – the PRIIPs KID shows future costs and returns, requiring the financial adviser or financial planner to discuss these with the retail investor. In addition, if substantial changes are made to either the KIID or KID, the retail client shall be informed of them and receive again a KIID or KID. </w:t>
      </w:r>
    </w:p>
    <w:p w14:paraId="0AF668AC" w14:textId="77777777" w:rsidR="00FB7D46" w:rsidRPr="00FB7D46" w:rsidRDefault="00FB7D46" w:rsidP="00FB7D46">
      <w:pPr>
        <w:pStyle w:val="Default"/>
        <w:jc w:val="both"/>
        <w:rPr>
          <w:rFonts w:asciiTheme="minorHAnsi" w:hAnsiTheme="minorHAnsi" w:cstheme="minorHAnsi"/>
          <w:color w:val="943634" w:themeColor="accent2" w:themeShade="BF"/>
          <w:sz w:val="22"/>
          <w:szCs w:val="22"/>
          <w:lang w:val="en-US"/>
        </w:rPr>
      </w:pPr>
    </w:p>
    <w:p w14:paraId="2A1A4B8D" w14:textId="77777777" w:rsidR="00FB7D46" w:rsidRPr="00FB7D46" w:rsidRDefault="00FB7D46" w:rsidP="00FB7D46">
      <w:pPr>
        <w:pStyle w:val="Default"/>
        <w:jc w:val="both"/>
        <w:rPr>
          <w:rFonts w:asciiTheme="minorHAnsi" w:hAnsiTheme="minorHAnsi" w:cstheme="minorHAnsi"/>
          <w:color w:val="943634" w:themeColor="accent2" w:themeShade="BF"/>
          <w:sz w:val="22"/>
          <w:szCs w:val="22"/>
          <w:lang w:val="en-US"/>
        </w:rPr>
      </w:pPr>
      <w:r w:rsidRPr="00FB7D46">
        <w:rPr>
          <w:rFonts w:asciiTheme="minorHAnsi" w:hAnsiTheme="minorHAnsi" w:cstheme="minorHAnsi"/>
          <w:color w:val="943634" w:themeColor="accent2" w:themeShade="BF"/>
          <w:sz w:val="22"/>
          <w:szCs w:val="22"/>
          <w:lang w:val="en-US"/>
        </w:rPr>
        <w:t>FPSB Europe believes that, considering the nature of the information disclosed in the PRIIPs KID (based on assumptions), changes in the initial subscription plan that do not affect the investment choice/ the composition of the product or its costs/ the risk profile/ the sector or focus of assets should not oblige the product manufacturer to send the retail investor a new PRIIP KID.</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1F0DAD49" w:rsidR="003E573C" w:rsidRPr="00FB7D46" w:rsidRDefault="00FB7D46" w:rsidP="003E573C">
      <w:pPr>
        <w:rPr>
          <w:rFonts w:asciiTheme="minorHAnsi" w:hAnsiTheme="minorHAnsi" w:cstheme="minorHAnsi"/>
          <w:color w:val="943634" w:themeColor="accent2" w:themeShade="BF"/>
          <w:sz w:val="22"/>
          <w:szCs w:val="28"/>
        </w:rPr>
      </w:pPr>
      <w:permStart w:id="803234900" w:edGrp="everyone"/>
      <w:r w:rsidRPr="00FB7D46">
        <w:rPr>
          <w:rFonts w:asciiTheme="minorHAnsi" w:hAnsiTheme="minorHAnsi" w:cstheme="minorHAnsi"/>
          <w:color w:val="943634" w:themeColor="accent2" w:themeShade="BF"/>
          <w:sz w:val="22"/>
          <w:szCs w:val="28"/>
        </w:rPr>
        <w:t>Yes</w:t>
      </w:r>
      <w:r w:rsidR="006A7817">
        <w:rPr>
          <w:rFonts w:asciiTheme="minorHAnsi" w:hAnsiTheme="minorHAnsi" w:cstheme="minorHAnsi"/>
          <w:color w:val="943634" w:themeColor="accent2" w:themeShade="BF"/>
          <w:sz w:val="22"/>
          <w:szCs w:val="28"/>
        </w:rPr>
        <w:t>.</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077E89DE" w14:textId="519A2C79" w:rsidR="00FB7D46" w:rsidRPr="00FB7D46" w:rsidRDefault="00FB7D46" w:rsidP="00FB7D46">
      <w:pPr>
        <w:jc w:val="both"/>
        <w:rPr>
          <w:rFonts w:asciiTheme="minorHAnsi" w:hAnsiTheme="minorHAnsi" w:cstheme="minorHAnsi"/>
          <w:color w:val="943634" w:themeColor="accent2" w:themeShade="BF"/>
          <w:sz w:val="22"/>
          <w:szCs w:val="28"/>
          <w:lang w:val="en-US"/>
        </w:rPr>
      </w:pPr>
      <w:permStart w:id="2127781944" w:edGrp="everyone"/>
      <w:r w:rsidRPr="00FB7D46">
        <w:rPr>
          <w:rFonts w:asciiTheme="minorHAnsi" w:hAnsiTheme="minorHAnsi" w:cstheme="minorHAnsi"/>
          <w:color w:val="943634" w:themeColor="accent2" w:themeShade="BF"/>
          <w:sz w:val="22"/>
          <w:szCs w:val="28"/>
          <w:lang w:val="en-US"/>
        </w:rPr>
        <w:t>Yes</w:t>
      </w:r>
      <w:r w:rsidR="006A7817">
        <w:rPr>
          <w:rFonts w:asciiTheme="minorHAnsi" w:hAnsiTheme="minorHAnsi" w:cstheme="minorHAnsi"/>
          <w:color w:val="943634" w:themeColor="accent2" w:themeShade="BF"/>
          <w:sz w:val="22"/>
          <w:szCs w:val="28"/>
          <w:lang w:val="en-US"/>
        </w:rPr>
        <w:t>, t</w:t>
      </w:r>
      <w:r w:rsidRPr="00FB7D46">
        <w:rPr>
          <w:rFonts w:asciiTheme="minorHAnsi" w:hAnsiTheme="minorHAnsi" w:cstheme="minorHAnsi"/>
          <w:color w:val="943634" w:themeColor="accent2" w:themeShade="BF"/>
          <w:sz w:val="22"/>
          <w:szCs w:val="28"/>
          <w:lang w:val="en-US"/>
        </w:rPr>
        <w:t xml:space="preserve">he KID is supposed to be a comprehensible and easy to read document for the average retail investor. Including reference to a glossary of terms will help enhance retail investors’ understanding of the document, especially for complex products. </w:t>
      </w:r>
    </w:p>
    <w:p w14:paraId="4B1F71C7" w14:textId="77777777" w:rsidR="006A7817" w:rsidRDefault="006A7817" w:rsidP="00FB7D46">
      <w:pPr>
        <w:jc w:val="both"/>
        <w:rPr>
          <w:rFonts w:asciiTheme="minorHAnsi" w:hAnsiTheme="minorHAnsi" w:cstheme="minorHAnsi"/>
          <w:color w:val="943634" w:themeColor="accent2" w:themeShade="BF"/>
          <w:sz w:val="22"/>
          <w:szCs w:val="28"/>
          <w:lang w:val="en-US"/>
        </w:rPr>
      </w:pPr>
    </w:p>
    <w:p w14:paraId="1C7BC1C6" w14:textId="22A911E0" w:rsidR="00FB7D46" w:rsidRPr="00FB7D46" w:rsidRDefault="00FB7D46" w:rsidP="00FB7D46">
      <w:pPr>
        <w:jc w:val="both"/>
        <w:rPr>
          <w:rFonts w:asciiTheme="minorHAnsi" w:hAnsiTheme="minorHAnsi" w:cstheme="minorHAnsi"/>
          <w:color w:val="943634" w:themeColor="accent2" w:themeShade="BF"/>
          <w:sz w:val="22"/>
          <w:szCs w:val="28"/>
          <w:lang w:val="en-US"/>
        </w:rPr>
      </w:pPr>
      <w:r w:rsidRPr="00FB7D46">
        <w:rPr>
          <w:rFonts w:asciiTheme="minorHAnsi" w:hAnsiTheme="minorHAnsi" w:cstheme="minorHAnsi"/>
          <w:color w:val="943634" w:themeColor="accent2" w:themeShade="BF"/>
          <w:sz w:val="22"/>
          <w:szCs w:val="28"/>
          <w:lang w:val="en-US"/>
        </w:rPr>
        <w:t xml:space="preserve">Concerning the other requirements clarified by questions 5 &amp; 7 of Section II of the UCITS Q&amp;A, FPSB Europe is in </w:t>
      </w:r>
      <w:proofErr w:type="spellStart"/>
      <w:r w:rsidRPr="00FB7D46">
        <w:rPr>
          <w:rFonts w:asciiTheme="minorHAnsi" w:hAnsiTheme="minorHAnsi" w:cstheme="minorHAnsi"/>
          <w:color w:val="943634" w:themeColor="accent2" w:themeShade="BF"/>
          <w:sz w:val="22"/>
          <w:szCs w:val="28"/>
          <w:lang w:val="en-US"/>
        </w:rPr>
        <w:t>favour</w:t>
      </w:r>
      <w:proofErr w:type="spellEnd"/>
      <w:r w:rsidRPr="00FB7D46">
        <w:rPr>
          <w:rFonts w:asciiTheme="minorHAnsi" w:hAnsiTheme="minorHAnsi" w:cstheme="minorHAnsi"/>
          <w:color w:val="943634" w:themeColor="accent2" w:themeShade="BF"/>
          <w:sz w:val="22"/>
          <w:szCs w:val="28"/>
          <w:lang w:val="en-US"/>
        </w:rPr>
        <w:t xml:space="preserve"> of their inclusion for all PRIIPs.</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32835A9B" w:rsidR="003E573C" w:rsidRPr="00FB7D46" w:rsidRDefault="00FB7D46" w:rsidP="003E573C">
      <w:pPr>
        <w:rPr>
          <w:rFonts w:cs="Arial"/>
          <w:color w:val="943634" w:themeColor="accent2" w:themeShade="BF"/>
        </w:rPr>
      </w:pPr>
      <w:permStart w:id="1746749030" w:edGrp="everyone"/>
      <w:r w:rsidRPr="00FB7D46">
        <w:rPr>
          <w:rFonts w:cs="Arial"/>
          <w:color w:val="943634" w:themeColor="accent2" w:themeShade="BF"/>
        </w:rPr>
        <w:t>N/A</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20C99104" w:rsidR="003E573C" w:rsidRPr="00FB7D46" w:rsidRDefault="00FB7D46" w:rsidP="003E573C">
      <w:pPr>
        <w:rPr>
          <w:rFonts w:cs="Arial"/>
          <w:color w:val="943634" w:themeColor="accent2" w:themeShade="BF"/>
        </w:rPr>
      </w:pPr>
      <w:permStart w:id="479034423" w:edGrp="everyone"/>
      <w:r w:rsidRPr="00FB7D46">
        <w:rPr>
          <w:rFonts w:cs="Arial"/>
          <w:color w:val="943634" w:themeColor="accent2" w:themeShade="BF"/>
        </w:rPr>
        <w:t>N/A</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E25F93F" w14:textId="070DFC17" w:rsidR="00FB7D46" w:rsidRPr="00FB7D46" w:rsidRDefault="00FB7D46" w:rsidP="00FB7D46">
      <w:pPr>
        <w:pStyle w:val="Default"/>
        <w:jc w:val="both"/>
        <w:rPr>
          <w:rFonts w:asciiTheme="minorHAnsi" w:hAnsiTheme="minorHAnsi" w:cstheme="minorHAnsi"/>
          <w:color w:val="943634" w:themeColor="accent2" w:themeShade="BF"/>
          <w:sz w:val="22"/>
          <w:szCs w:val="22"/>
          <w:lang w:val="en-US"/>
        </w:rPr>
      </w:pPr>
      <w:permStart w:id="1857164361" w:edGrp="everyone"/>
      <w:r w:rsidRPr="00FB7D46">
        <w:rPr>
          <w:rFonts w:asciiTheme="minorHAnsi" w:hAnsiTheme="minorHAnsi" w:cstheme="minorHAnsi"/>
          <w:color w:val="943634" w:themeColor="accent2" w:themeShade="BF"/>
          <w:sz w:val="22"/>
          <w:szCs w:val="22"/>
          <w:lang w:val="en-US"/>
        </w:rPr>
        <w:t xml:space="preserve">For the new approach to be an improvement, the retail investor must </w:t>
      </w:r>
      <w:r w:rsidR="006A7817" w:rsidRPr="00CB5C8C">
        <w:rPr>
          <w:rFonts w:asciiTheme="minorHAnsi" w:hAnsiTheme="minorHAnsi" w:cstheme="minorHAnsi"/>
          <w:color w:val="943634" w:themeColor="accent2" w:themeShade="BF"/>
          <w:sz w:val="22"/>
          <w:szCs w:val="22"/>
          <w:lang w:val="en-US"/>
        </w:rPr>
        <w:t xml:space="preserve">receive an explanation </w:t>
      </w:r>
      <w:r w:rsidRPr="00CB5C8C">
        <w:rPr>
          <w:rFonts w:asciiTheme="minorHAnsi" w:hAnsiTheme="minorHAnsi" w:cstheme="minorHAnsi"/>
          <w:color w:val="943634" w:themeColor="accent2" w:themeShade="BF"/>
          <w:sz w:val="22"/>
          <w:szCs w:val="22"/>
          <w:lang w:val="en-US"/>
        </w:rPr>
        <w:t>be</w:t>
      </w:r>
      <w:r w:rsidR="006A7817" w:rsidRPr="00CB5C8C">
        <w:rPr>
          <w:rFonts w:asciiTheme="minorHAnsi" w:hAnsiTheme="minorHAnsi" w:cstheme="minorHAnsi"/>
          <w:color w:val="943634" w:themeColor="accent2" w:themeShade="BF"/>
          <w:sz w:val="22"/>
          <w:szCs w:val="22"/>
          <w:lang w:val="en-US"/>
        </w:rPr>
        <w:t>/</w:t>
      </w:r>
      <w:r w:rsidRPr="00CB5C8C">
        <w:rPr>
          <w:rFonts w:asciiTheme="minorHAnsi" w:hAnsiTheme="minorHAnsi" w:cstheme="minorHAnsi"/>
          <w:color w:val="943634" w:themeColor="accent2" w:themeShade="BF"/>
          <w:sz w:val="22"/>
          <w:szCs w:val="22"/>
          <w:lang w:val="en-US"/>
        </w:rPr>
        <w:t xml:space="preserve">warned </w:t>
      </w:r>
      <w:r w:rsidRPr="00FB7D46">
        <w:rPr>
          <w:rFonts w:asciiTheme="minorHAnsi" w:hAnsiTheme="minorHAnsi" w:cstheme="minorHAnsi"/>
          <w:color w:val="943634" w:themeColor="accent2" w:themeShade="BF"/>
          <w:sz w:val="22"/>
          <w:szCs w:val="22"/>
          <w:lang w:val="en-US"/>
        </w:rPr>
        <w:t>that:</w:t>
      </w:r>
    </w:p>
    <w:p w14:paraId="61D79AEF" w14:textId="77777777" w:rsidR="00FB7D46" w:rsidRPr="00FB7D46" w:rsidRDefault="00FB7D46" w:rsidP="00FB7D46">
      <w:pPr>
        <w:pStyle w:val="Default"/>
        <w:jc w:val="both"/>
        <w:rPr>
          <w:rFonts w:asciiTheme="minorHAnsi" w:hAnsiTheme="minorHAnsi" w:cstheme="minorHAnsi"/>
          <w:color w:val="943634" w:themeColor="accent2" w:themeShade="BF"/>
          <w:sz w:val="22"/>
          <w:szCs w:val="22"/>
          <w:lang w:val="en-US"/>
        </w:rPr>
      </w:pPr>
      <w:r w:rsidRPr="00FB7D46">
        <w:rPr>
          <w:rFonts w:asciiTheme="minorHAnsi" w:hAnsiTheme="minorHAnsi" w:cstheme="minorHAnsi"/>
          <w:color w:val="943634" w:themeColor="accent2" w:themeShade="BF"/>
          <w:sz w:val="22"/>
          <w:szCs w:val="22"/>
          <w:lang w:val="en-US"/>
        </w:rPr>
        <w:t xml:space="preserve">-  the full cost is shown for the most commonly used combinations of options;  </w:t>
      </w:r>
    </w:p>
    <w:p w14:paraId="275FB3BE" w14:textId="4146E0C7" w:rsidR="00FB7D46" w:rsidRPr="00FB7D46" w:rsidRDefault="00FB7D46" w:rsidP="00FB7D46">
      <w:pPr>
        <w:pStyle w:val="Default"/>
        <w:jc w:val="both"/>
        <w:rPr>
          <w:rFonts w:asciiTheme="minorHAnsi" w:hAnsiTheme="minorHAnsi" w:cstheme="minorHAnsi"/>
          <w:color w:val="943634" w:themeColor="accent2" w:themeShade="BF"/>
          <w:sz w:val="22"/>
          <w:szCs w:val="22"/>
          <w:lang w:val="en-US"/>
        </w:rPr>
      </w:pPr>
      <w:r w:rsidRPr="00FB7D46">
        <w:rPr>
          <w:rFonts w:asciiTheme="minorHAnsi" w:hAnsiTheme="minorHAnsi" w:cstheme="minorHAnsi"/>
          <w:color w:val="943634" w:themeColor="accent2" w:themeShade="BF"/>
          <w:sz w:val="22"/>
          <w:szCs w:val="22"/>
          <w:lang w:val="en-US"/>
        </w:rPr>
        <w:t xml:space="preserve">- other combinations make sense and can usefully be discussed with a competent and ethical adviser (acting in the best interest of the retail investor), in order to find the </w:t>
      </w:r>
      <w:r w:rsidRPr="00CB5C8C">
        <w:rPr>
          <w:rFonts w:asciiTheme="minorHAnsi" w:hAnsiTheme="minorHAnsi" w:cstheme="minorHAnsi"/>
          <w:color w:val="943634" w:themeColor="accent2" w:themeShade="BF"/>
          <w:sz w:val="22"/>
          <w:szCs w:val="22"/>
          <w:lang w:val="en-US"/>
        </w:rPr>
        <w:t>mo</w:t>
      </w:r>
      <w:r w:rsidR="006A7817" w:rsidRPr="00CB5C8C">
        <w:rPr>
          <w:rFonts w:asciiTheme="minorHAnsi" w:hAnsiTheme="minorHAnsi" w:cstheme="minorHAnsi"/>
          <w:color w:val="943634" w:themeColor="accent2" w:themeShade="BF"/>
          <w:sz w:val="22"/>
          <w:szCs w:val="22"/>
          <w:lang w:val="en-US"/>
        </w:rPr>
        <w:t>st</w:t>
      </w:r>
      <w:r w:rsidRPr="00CB5C8C">
        <w:rPr>
          <w:rFonts w:asciiTheme="minorHAnsi" w:hAnsiTheme="minorHAnsi" w:cstheme="minorHAnsi"/>
          <w:color w:val="943634" w:themeColor="accent2" w:themeShade="BF"/>
          <w:sz w:val="22"/>
          <w:szCs w:val="22"/>
          <w:lang w:val="en-US"/>
        </w:rPr>
        <w:t xml:space="preserve"> </w:t>
      </w:r>
      <w:r w:rsidRPr="00FB7D46">
        <w:rPr>
          <w:rFonts w:asciiTheme="minorHAnsi" w:hAnsiTheme="minorHAnsi" w:cstheme="minorHAnsi"/>
          <w:color w:val="943634" w:themeColor="accent2" w:themeShade="BF"/>
          <w:sz w:val="22"/>
          <w:szCs w:val="22"/>
          <w:lang w:val="en-US"/>
        </w:rPr>
        <w:t>suitable combination for the said investor;</w:t>
      </w:r>
    </w:p>
    <w:p w14:paraId="1D7F4F9A" w14:textId="77777777" w:rsidR="00FB7D46" w:rsidRPr="00FB7D46" w:rsidRDefault="00FB7D46" w:rsidP="00FB7D46">
      <w:pPr>
        <w:pStyle w:val="Default"/>
        <w:jc w:val="both"/>
        <w:rPr>
          <w:rFonts w:asciiTheme="minorHAnsi" w:hAnsiTheme="minorHAnsi" w:cstheme="minorHAnsi"/>
          <w:color w:val="943634" w:themeColor="accent2" w:themeShade="BF"/>
          <w:sz w:val="22"/>
          <w:szCs w:val="22"/>
          <w:lang w:val="en-US"/>
        </w:rPr>
      </w:pPr>
      <w:r w:rsidRPr="00FB7D46">
        <w:rPr>
          <w:rFonts w:asciiTheme="minorHAnsi" w:hAnsiTheme="minorHAnsi" w:cstheme="minorHAnsi"/>
          <w:color w:val="943634" w:themeColor="accent2" w:themeShade="BF"/>
          <w:sz w:val="22"/>
          <w:szCs w:val="22"/>
          <w:lang w:val="en-US"/>
        </w:rPr>
        <w:t>- the actual cost of the combination selected by this retail investor may/will differ form the cost of given combination examples.</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1CFA2BFC" w:rsidR="003E573C" w:rsidRPr="00FB7D46" w:rsidRDefault="00FB7D46" w:rsidP="003E573C">
      <w:pPr>
        <w:rPr>
          <w:rFonts w:cs="Arial"/>
          <w:color w:val="943634" w:themeColor="accent2" w:themeShade="BF"/>
        </w:rPr>
      </w:pPr>
      <w:permStart w:id="1989770724" w:edGrp="everyone"/>
      <w:r w:rsidRPr="00FB7D46">
        <w:rPr>
          <w:rFonts w:cs="Arial"/>
          <w:color w:val="943634" w:themeColor="accent2" w:themeShade="BF"/>
        </w:rPr>
        <w:t>N/A</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02AD650B" w14:textId="106E6B52" w:rsidR="00FB7D46" w:rsidRPr="00FB7D46" w:rsidRDefault="00FB7D46" w:rsidP="00FB7D46">
      <w:pPr>
        <w:pStyle w:val="Default"/>
        <w:jc w:val="both"/>
        <w:rPr>
          <w:rFonts w:asciiTheme="minorHAnsi" w:hAnsiTheme="minorHAnsi" w:cstheme="minorHAnsi"/>
          <w:color w:val="943634" w:themeColor="accent2" w:themeShade="BF"/>
          <w:sz w:val="22"/>
          <w:szCs w:val="22"/>
          <w:lang w:val="en-US"/>
        </w:rPr>
      </w:pPr>
      <w:permStart w:id="1417153881" w:edGrp="everyone"/>
      <w:r w:rsidRPr="00FB7D46">
        <w:rPr>
          <w:rFonts w:asciiTheme="minorHAnsi" w:hAnsiTheme="minorHAnsi" w:cstheme="minorHAnsi"/>
          <w:color w:val="943634" w:themeColor="accent2" w:themeShade="BF"/>
          <w:sz w:val="22"/>
          <w:szCs w:val="22"/>
          <w:lang w:val="en-US"/>
        </w:rPr>
        <w:t xml:space="preserve">The main risk is that the </w:t>
      </w:r>
      <w:r w:rsidR="006A7817" w:rsidRPr="00CB5C8C">
        <w:rPr>
          <w:rFonts w:asciiTheme="minorHAnsi" w:hAnsiTheme="minorHAnsi" w:cstheme="minorHAnsi"/>
          <w:color w:val="943634" w:themeColor="accent2" w:themeShade="BF"/>
          <w:sz w:val="22"/>
          <w:szCs w:val="22"/>
          <w:lang w:val="en-US"/>
        </w:rPr>
        <w:t xml:space="preserve">retail </w:t>
      </w:r>
      <w:r w:rsidRPr="00CB5C8C">
        <w:rPr>
          <w:rFonts w:asciiTheme="minorHAnsi" w:hAnsiTheme="minorHAnsi" w:cstheme="minorHAnsi"/>
          <w:color w:val="943634" w:themeColor="accent2" w:themeShade="BF"/>
          <w:sz w:val="22"/>
          <w:szCs w:val="22"/>
          <w:lang w:val="en-US"/>
        </w:rPr>
        <w:t xml:space="preserve">investor </w:t>
      </w:r>
      <w:r w:rsidR="00240433" w:rsidRPr="00CB5C8C">
        <w:rPr>
          <w:rFonts w:asciiTheme="minorHAnsi" w:hAnsiTheme="minorHAnsi" w:cstheme="minorHAnsi"/>
          <w:color w:val="943634" w:themeColor="accent2" w:themeShade="BF"/>
          <w:sz w:val="22"/>
          <w:szCs w:val="22"/>
          <w:lang w:val="en-US"/>
        </w:rPr>
        <w:t>is</w:t>
      </w:r>
      <w:r w:rsidRPr="00CB5C8C">
        <w:rPr>
          <w:rFonts w:asciiTheme="minorHAnsi" w:hAnsiTheme="minorHAnsi" w:cstheme="minorHAnsi"/>
          <w:color w:val="943634" w:themeColor="accent2" w:themeShade="BF"/>
          <w:sz w:val="22"/>
          <w:szCs w:val="22"/>
          <w:lang w:val="en-US"/>
        </w:rPr>
        <w:t xml:space="preserve"> </w:t>
      </w:r>
      <w:r w:rsidRPr="00FB7D46">
        <w:rPr>
          <w:rFonts w:asciiTheme="minorHAnsi" w:hAnsiTheme="minorHAnsi" w:cstheme="minorHAnsi"/>
          <w:color w:val="943634" w:themeColor="accent2" w:themeShade="BF"/>
          <w:sz w:val="22"/>
          <w:szCs w:val="22"/>
          <w:lang w:val="en-US"/>
        </w:rPr>
        <w:t>biased towards the selected combination of options if the precautions/warnings suggested above are not in place.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07E659AB" w:rsidR="003E573C" w:rsidRPr="00FB7D46" w:rsidRDefault="00FB7D46" w:rsidP="003E573C">
      <w:pPr>
        <w:rPr>
          <w:rFonts w:cs="Arial"/>
          <w:color w:val="943634" w:themeColor="accent2" w:themeShade="BF"/>
        </w:rPr>
      </w:pPr>
      <w:permStart w:id="481841044" w:edGrp="everyone"/>
      <w:r w:rsidRPr="00FB7D46">
        <w:rPr>
          <w:rFonts w:cs="Arial"/>
          <w:color w:val="943634" w:themeColor="accent2" w:themeShade="BF"/>
        </w:rPr>
        <w:t>N/A</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w:t>
      </w:r>
      <w:bookmarkStart w:id="3" w:name="_GoBack"/>
      <w:r>
        <w:rPr>
          <w:rFonts w:cs="Arial"/>
        </w:rPr>
        <w:t>_PKID_54&gt;</w:t>
      </w:r>
    </w:p>
    <w:p w14:paraId="2B0AB410" w14:textId="1BBDA6D2" w:rsidR="00FB7D46" w:rsidRPr="000C43FC" w:rsidRDefault="00FB7D46" w:rsidP="00FB7D46">
      <w:pPr>
        <w:pStyle w:val="Default"/>
        <w:jc w:val="both"/>
        <w:rPr>
          <w:color w:val="943634" w:themeColor="accent2" w:themeShade="BF"/>
          <w:sz w:val="22"/>
          <w:szCs w:val="22"/>
          <w:lang w:val="en-US"/>
        </w:rPr>
      </w:pPr>
      <w:permStart w:id="1862034741" w:edGrp="everyone"/>
      <w:r>
        <w:rPr>
          <w:color w:val="943634" w:themeColor="accent2" w:themeShade="BF"/>
          <w:sz w:val="22"/>
          <w:szCs w:val="22"/>
          <w:lang w:val="en-US"/>
        </w:rPr>
        <w:t>N/A</w:t>
      </w:r>
    </w:p>
    <w:bookmarkEnd w:id="3"/>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0993DE89" w:rsidR="003E573C" w:rsidRPr="00FB7D46" w:rsidRDefault="00FB7D46" w:rsidP="003E573C">
      <w:pPr>
        <w:rPr>
          <w:rFonts w:cs="Arial"/>
          <w:color w:val="943634" w:themeColor="accent2" w:themeShade="BF"/>
        </w:rPr>
      </w:pPr>
      <w:permStart w:id="250878080" w:edGrp="everyone"/>
      <w:r w:rsidRPr="00FB7D46">
        <w:rPr>
          <w:rFonts w:cs="Arial"/>
          <w:color w:val="943634" w:themeColor="accent2" w:themeShade="BF"/>
        </w:rPr>
        <w:t>N/A</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24598C5D" w:rsidR="003E573C" w:rsidRPr="00FB7D46" w:rsidRDefault="00FB7D46" w:rsidP="003E573C">
      <w:pPr>
        <w:rPr>
          <w:rFonts w:cs="Arial"/>
          <w:color w:val="943634" w:themeColor="accent2" w:themeShade="BF"/>
        </w:rPr>
      </w:pPr>
      <w:permStart w:id="1410489078" w:edGrp="everyone"/>
      <w:r>
        <w:rPr>
          <w:rFonts w:cs="Arial"/>
          <w:color w:val="943634" w:themeColor="accent2" w:themeShade="BF"/>
        </w:rPr>
        <w:t>N/A</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4110E920" w:rsidR="003E573C" w:rsidRPr="00FB7D46" w:rsidRDefault="00FB7D46" w:rsidP="003E573C">
      <w:pPr>
        <w:rPr>
          <w:rFonts w:cs="Arial"/>
          <w:color w:val="943634" w:themeColor="accent2" w:themeShade="BF"/>
        </w:rPr>
      </w:pPr>
      <w:permStart w:id="264046412" w:edGrp="everyone"/>
      <w:r w:rsidRPr="00FB7D46">
        <w:rPr>
          <w:rFonts w:cs="Arial"/>
          <w:color w:val="943634" w:themeColor="accent2" w:themeShade="BF"/>
        </w:rPr>
        <w:t>N/A</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7"/>
      <w:headerReference w:type="first" r:id="rId28"/>
      <w:footerReference w:type="first" r:id="rId2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966D4" w14:textId="77777777" w:rsidR="00963C24" w:rsidRDefault="00963C24">
      <w:r>
        <w:separator/>
      </w:r>
    </w:p>
    <w:p w14:paraId="4F3AA104" w14:textId="77777777" w:rsidR="00963C24" w:rsidRDefault="00963C24"/>
  </w:endnote>
  <w:endnote w:type="continuationSeparator" w:id="0">
    <w:p w14:paraId="0B73991A" w14:textId="77777777" w:rsidR="00963C24" w:rsidRDefault="00963C24">
      <w:r>
        <w:continuationSeparator/>
      </w:r>
    </w:p>
    <w:p w14:paraId="6CC533D7" w14:textId="77777777" w:rsidR="00963C24" w:rsidRDefault="00963C24"/>
  </w:endnote>
  <w:endnote w:type="continuationNotice" w:id="1">
    <w:p w14:paraId="365B849C" w14:textId="77777777" w:rsidR="00963C24" w:rsidRDefault="00963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D679C" w14:textId="77777777" w:rsidR="00963C24" w:rsidRDefault="00963C24">
      <w:r>
        <w:separator/>
      </w:r>
    </w:p>
    <w:p w14:paraId="288C7A0E" w14:textId="77777777" w:rsidR="00963C24" w:rsidRDefault="00963C24"/>
  </w:footnote>
  <w:footnote w:type="continuationSeparator" w:id="0">
    <w:p w14:paraId="36A94F25" w14:textId="77777777" w:rsidR="00963C24" w:rsidRDefault="00963C24">
      <w:r>
        <w:continuationSeparator/>
      </w:r>
    </w:p>
    <w:p w14:paraId="184E198F" w14:textId="77777777" w:rsidR="00963C24" w:rsidRDefault="00963C24"/>
  </w:footnote>
  <w:footnote w:type="continuationNotice" w:id="1">
    <w:p w14:paraId="6B77CD8B" w14:textId="77777777" w:rsidR="00963C24" w:rsidRDefault="00963C24"/>
  </w:footnote>
  <w:footnote w:id="2">
    <w:p w14:paraId="3ADCE2CB" w14:textId="77777777" w:rsidR="00197794" w:rsidRPr="009E1A8D" w:rsidRDefault="00197794" w:rsidP="00197794">
      <w:pPr>
        <w:pStyle w:val="Notedebasdepage"/>
      </w:pPr>
      <w:r>
        <w:rPr>
          <w:rStyle w:val="Appelnotedebasdep"/>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Notedebasdepage"/>
      </w:pPr>
      <w:r>
        <w:rPr>
          <w:rStyle w:val="Appelnotedebasdep"/>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Notedebasdepage"/>
      </w:pPr>
      <w:r>
        <w:rPr>
          <w:rStyle w:val="Appelnotedebasdep"/>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7A49F55C" w14:textId="77777777" w:rsidR="0069477B" w:rsidRPr="00BC2D71" w:rsidRDefault="0069477B" w:rsidP="0069477B">
      <w:pPr>
        <w:pStyle w:val="Notedebasdepage"/>
        <w:rPr>
          <w:rFonts w:asciiTheme="majorHAnsi" w:hAnsiTheme="majorHAnsi" w:cstheme="majorHAnsi"/>
        </w:rPr>
      </w:pPr>
      <w:r w:rsidRPr="00BC2D71">
        <w:rPr>
          <w:rStyle w:val="Appelnotedebasdep"/>
          <w:rFonts w:asciiTheme="majorHAnsi" w:hAnsiTheme="majorHAnsi" w:cstheme="majorHAnsi"/>
          <w:sz w:val="18"/>
          <w:szCs w:val="18"/>
        </w:rPr>
        <w:footnoteRef/>
      </w:r>
      <w:r w:rsidRPr="00BC2D71">
        <w:rPr>
          <w:rFonts w:asciiTheme="majorHAnsi" w:hAnsiTheme="majorHAnsi" w:cstheme="majorHAnsi"/>
          <w:sz w:val="18"/>
          <w:szCs w:val="18"/>
        </w:rPr>
        <w:t xml:space="preserve"> See European Central Bank, ‘Euro Area Yield Curves’ (accessed 16 December 2019) </w:t>
      </w:r>
      <w:hyperlink r:id="rId1" w:history="1">
        <w:r w:rsidRPr="00BC2D71">
          <w:rPr>
            <w:rStyle w:val="Lienhypertexte"/>
            <w:rFonts w:asciiTheme="majorHAnsi" w:hAnsiTheme="majorHAnsi" w:cstheme="majorHAnsi"/>
            <w:sz w:val="18"/>
            <w:szCs w:val="18"/>
          </w:rPr>
          <w:t>https://www.ecb.europa.eu/stats/financial_markets_and_interest_rates/euro_area_yield_curves/html/index.en.html</w:t>
        </w:r>
      </w:hyperlink>
      <w:r w:rsidRPr="00BC2D71">
        <w:rPr>
          <w:rFonts w:asciiTheme="majorHAnsi" w:hAnsiTheme="majorHAnsi" w:cstheme="majorHAnsi"/>
          <w:sz w:val="18"/>
          <w:szCs w:val="18"/>
        </w:rPr>
        <w:t xml:space="preserve">. </w:t>
      </w:r>
    </w:p>
  </w:footnote>
  <w:footnote w:id="6">
    <w:p w14:paraId="0A1F2363" w14:textId="77777777" w:rsidR="003E573C" w:rsidRPr="00653F3B" w:rsidRDefault="003E573C" w:rsidP="003E573C">
      <w:pPr>
        <w:pStyle w:val="Notedebasdepage"/>
      </w:pPr>
      <w:r>
        <w:rPr>
          <w:rStyle w:val="Appelnotedebasdep"/>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En-tte"/>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En-tte"/>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En-tte"/>
      <w:rPr>
        <w:lang w:val="fr-FR"/>
      </w:rPr>
    </w:pPr>
  </w:p>
  <w:p w14:paraId="6A3CB0F8" w14:textId="77777777" w:rsidR="00811EDA" w:rsidRPr="002F4496" w:rsidRDefault="00811EDA" w:rsidP="000C06C9">
    <w:pPr>
      <w:pStyle w:val="En-tte"/>
      <w:tabs>
        <w:tab w:val="clear" w:pos="4536"/>
        <w:tab w:val="clear" w:pos="9072"/>
        <w:tab w:val="left" w:pos="8227"/>
      </w:tabs>
      <w:rPr>
        <w:lang w:val="fr-FR"/>
      </w:rPr>
    </w:pPr>
  </w:p>
  <w:p w14:paraId="6A3CB0F9" w14:textId="77777777" w:rsidR="00811EDA" w:rsidRPr="002F4496" w:rsidRDefault="00811EDA" w:rsidP="000C06C9">
    <w:pPr>
      <w:pStyle w:val="En-tte"/>
      <w:tabs>
        <w:tab w:val="clear" w:pos="4536"/>
        <w:tab w:val="clear" w:pos="9072"/>
        <w:tab w:val="left" w:pos="8227"/>
      </w:tabs>
      <w:rPr>
        <w:lang w:val="fr-FR"/>
      </w:rPr>
    </w:pPr>
  </w:p>
  <w:p w14:paraId="6A3CB0FA" w14:textId="77777777" w:rsidR="00811EDA" w:rsidRPr="002F4496" w:rsidRDefault="00811EDA">
    <w:pPr>
      <w:pStyle w:val="En-tte"/>
      <w:rPr>
        <w:lang w:val="fr-FR"/>
      </w:rPr>
    </w:pPr>
  </w:p>
  <w:p w14:paraId="6A3CB0FB" w14:textId="77777777" w:rsidR="00811EDA" w:rsidRPr="002F4496" w:rsidRDefault="00811EDA">
    <w:pPr>
      <w:pStyle w:val="En-tte"/>
      <w:rPr>
        <w:lang w:val="fr-FR"/>
      </w:rPr>
    </w:pPr>
  </w:p>
  <w:p w14:paraId="6A3CB0FC" w14:textId="77777777" w:rsidR="00811EDA" w:rsidRPr="002F4496" w:rsidRDefault="00811EDA">
    <w:pPr>
      <w:pStyle w:val="En-tte"/>
      <w:rPr>
        <w:lang w:val="fr-FR"/>
      </w:rPr>
    </w:pPr>
  </w:p>
  <w:p w14:paraId="6A3CB0FD" w14:textId="77777777" w:rsidR="00811EDA" w:rsidRPr="002F4496" w:rsidRDefault="00811EDA">
    <w:pPr>
      <w:pStyle w:val="En-tte"/>
      <w:rPr>
        <w:lang w:val="fr-FR"/>
      </w:rPr>
    </w:pPr>
  </w:p>
  <w:p w14:paraId="6A3CB0FE" w14:textId="77777777" w:rsidR="00811EDA" w:rsidRPr="002F4496" w:rsidRDefault="00811EDA">
    <w:pPr>
      <w:pStyle w:val="En-tte"/>
      <w:rPr>
        <w:highlight w:val="yellow"/>
        <w:lang w:val="fr-FR"/>
      </w:rPr>
    </w:pPr>
  </w:p>
  <w:p w14:paraId="6A3CB0FF" w14:textId="05D5FF53" w:rsidR="00811EDA" w:rsidRDefault="00DE66EB">
    <w:pPr>
      <w:pStyle w:val="En-tt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5063B0F"/>
    <w:multiLevelType w:val="hybridMultilevel"/>
    <w:tmpl w:val="65E67EFA"/>
    <w:lvl w:ilvl="0" w:tplc="A2589DA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380F2B"/>
    <w:multiLevelType w:val="hybridMultilevel"/>
    <w:tmpl w:val="0CE8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9"/>
  </w:num>
  <w:num w:numId="5">
    <w:abstractNumId w:val="33"/>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6"/>
  </w:num>
  <w:num w:numId="15">
    <w:abstractNumId w:val="9"/>
  </w:num>
  <w:num w:numId="16">
    <w:abstractNumId w:val="1"/>
  </w:num>
  <w:num w:numId="17">
    <w:abstractNumId w:val="16"/>
  </w:num>
  <w:num w:numId="18">
    <w:abstractNumId w:val="17"/>
  </w:num>
  <w:num w:numId="19">
    <w:abstractNumId w:val="19"/>
  </w:num>
  <w:num w:numId="20">
    <w:abstractNumId w:val="34"/>
  </w:num>
  <w:num w:numId="21">
    <w:abstractNumId w:val="45"/>
  </w:num>
  <w:num w:numId="22">
    <w:abstractNumId w:val="31"/>
  </w:num>
  <w:num w:numId="23">
    <w:abstractNumId w:val="8"/>
  </w:num>
  <w:num w:numId="24">
    <w:abstractNumId w:val="38"/>
  </w:num>
  <w:num w:numId="25">
    <w:abstractNumId w:val="37"/>
  </w:num>
  <w:num w:numId="26">
    <w:abstractNumId w:val="23"/>
  </w:num>
  <w:num w:numId="27">
    <w:abstractNumId w:val="42"/>
  </w:num>
  <w:num w:numId="28">
    <w:abstractNumId w:val="47"/>
  </w:num>
  <w:num w:numId="29">
    <w:abstractNumId w:val="5"/>
  </w:num>
  <w:num w:numId="30">
    <w:abstractNumId w:val="2"/>
  </w:num>
  <w:num w:numId="31">
    <w:abstractNumId w:val="25"/>
  </w:num>
  <w:num w:numId="32">
    <w:abstractNumId w:val="24"/>
  </w:num>
  <w:num w:numId="33">
    <w:abstractNumId w:val="44"/>
  </w:num>
  <w:num w:numId="34">
    <w:abstractNumId w:val="43"/>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7"/>
  </w:num>
  <w:num w:numId="39">
    <w:abstractNumId w:val="14"/>
  </w:num>
  <w:num w:numId="40">
    <w:abstractNumId w:val="11"/>
  </w:num>
  <w:num w:numId="41">
    <w:abstractNumId w:val="20"/>
  </w:num>
  <w:num w:numId="42">
    <w:abstractNumId w:val="41"/>
  </w:num>
  <w:num w:numId="43">
    <w:abstractNumId w:val="30"/>
  </w:num>
  <w:num w:numId="44">
    <w:abstractNumId w:val="30"/>
    <w:lvlOverride w:ilvl="0">
      <w:startOverride w:val="1"/>
    </w:lvlOverride>
  </w:num>
  <w:num w:numId="45">
    <w:abstractNumId w:val="28"/>
  </w:num>
  <w:num w:numId="46">
    <w:abstractNumId w:val="7"/>
  </w:num>
  <w:num w:numId="47">
    <w:abstractNumId w:val="35"/>
  </w:num>
  <w:num w:numId="48">
    <w:abstractNumId w:val="22"/>
  </w:num>
  <w:num w:numId="49">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82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433"/>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924"/>
    <w:rsid w:val="002E4F86"/>
    <w:rsid w:val="002E7113"/>
    <w:rsid w:val="002E7F4B"/>
    <w:rsid w:val="002E7FB3"/>
    <w:rsid w:val="002F0C91"/>
    <w:rsid w:val="002F0E3E"/>
    <w:rsid w:val="002F1B19"/>
    <w:rsid w:val="002F1FBF"/>
    <w:rsid w:val="002F4139"/>
    <w:rsid w:val="00300624"/>
    <w:rsid w:val="00300F56"/>
    <w:rsid w:val="00301006"/>
    <w:rsid w:val="00302197"/>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77B"/>
    <w:rsid w:val="00694B73"/>
    <w:rsid w:val="00694DF2"/>
    <w:rsid w:val="00695F80"/>
    <w:rsid w:val="006966CD"/>
    <w:rsid w:val="00696735"/>
    <w:rsid w:val="006975D4"/>
    <w:rsid w:val="0069780E"/>
    <w:rsid w:val="00697D13"/>
    <w:rsid w:val="006A24D5"/>
    <w:rsid w:val="006A2CA2"/>
    <w:rsid w:val="006A7817"/>
    <w:rsid w:val="006A79CC"/>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0D33"/>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C24"/>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5C8C"/>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57DF"/>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AB4"/>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43C"/>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B7D46"/>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link w:val="1"/>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phedeliste"/>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Appelnotedebasdep"/>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ColorfulList-Accent12">
    <w:name w:val="Colorful List - Accent 12"/>
    <w:basedOn w:val="Normal"/>
    <w:uiPriority w:val="34"/>
    <w:qFormat/>
    <w:rsid w:val="001B582B"/>
    <w:pPr>
      <w:spacing w:after="200"/>
      <w:ind w:left="720"/>
      <w:contextualSpacing/>
    </w:pPr>
    <w:rPr>
      <w:rFonts w:ascii="Cambria" w:eastAsia="Cambria" w:hAnsi="Cambri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nmaye@fpsb.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aymondleban@cgpc.fr"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press-news/consultations/joint-consultation-concerning-amendments-priips-kid" TargetMode="Externa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stats/financial_markets_and_interest_rates/euro_area_yield_curves/html/index.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5A585-8009-404B-A1F6-0D76105730CD}">
  <ds:schemaRefs>
    <ds:schemaRef ds:uri="http://schemas.openxmlformats.org/officeDocument/2006/bibliography"/>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6.xml><?xml version="1.0" encoding="utf-8"?>
<ds:datastoreItem xmlns:ds="http://schemas.openxmlformats.org/officeDocument/2006/customXml" ds:itemID="{9AEDD5C3-09A4-4166-AA28-0A2E9793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6012</Words>
  <Characters>33072</Characters>
  <Application>Microsoft Office Word</Application>
  <DocSecurity>8</DocSecurity>
  <Lines>275</Lines>
  <Paragraphs>78</Paragraphs>
  <ScaleCrop>false</ScaleCrop>
  <HeadingPairs>
    <vt:vector size="10" baseType="variant">
      <vt:variant>
        <vt:lpstr>Title</vt:lpstr>
      </vt:variant>
      <vt:variant>
        <vt:i4>1</vt:i4>
      </vt:variant>
      <vt:variant>
        <vt:lpstr>Titre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39006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Raymond</cp:lastModifiedBy>
  <cp:revision>2</cp:revision>
  <cp:lastPrinted>2015-02-18T11:01:00Z</cp:lastPrinted>
  <dcterms:created xsi:type="dcterms:W3CDTF">2020-01-13T18:10:00Z</dcterms:created>
  <dcterms:modified xsi:type="dcterms:W3CDTF">2020-01-13T18:10:00Z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