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bookmarkStart w:id="0" w:name="_GoBack"/>
            <w:bookmarkEnd w:id="0"/>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Regulation”).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197794">
        <w:rPr>
          <w:rStyle w:val="SchwacheHervorhebung"/>
          <w:b w:val="0"/>
          <w:sz w:val="22"/>
        </w:rPr>
        <w:t>PKID</w:t>
      </w:r>
      <w:r w:rsidRPr="00E40A5C">
        <w:rPr>
          <w:rStyle w:val="SchwacheHervorhebung"/>
          <w:b w:val="0"/>
          <w:sz w:val="22"/>
        </w:rPr>
        <w:t>_nameofrespondent_RESPONSEFORM. For example, for a respondent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1"/>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8A74F3">
        <w:tc>
          <w:tcPr>
            <w:tcW w:w="3929" w:type="dxa"/>
            <w:shd w:val="clear" w:color="auto" w:fill="auto"/>
          </w:tcPr>
          <w:p w14:paraId="6A3CB050" w14:textId="77777777" w:rsidR="00B327E9" w:rsidRPr="00E40A5C" w:rsidRDefault="00B327E9" w:rsidP="008A74F3">
            <w:pPr>
              <w:rPr>
                <w:rFonts w:cs="Arial"/>
                <w:sz w:val="22"/>
              </w:rPr>
            </w:pPr>
            <w:permStart w:id="233722365" w:edGrp="everyone" w:colFirst="1" w:colLast="1"/>
            <w:r w:rsidRPr="00E40A5C">
              <w:rPr>
                <w:rFonts w:cs="Arial"/>
                <w:sz w:val="22"/>
              </w:rPr>
              <w:t>Name of the company / organisation</w:t>
            </w:r>
          </w:p>
        </w:tc>
        <w:sdt>
          <w:sdtPr>
            <w:rPr>
              <w:lang w:val="en-US"/>
            </w:rPr>
            <w:id w:val="-1905066999"/>
            <w:text/>
          </w:sdtPr>
          <w:sdtEndPr/>
          <w:sdtContent>
            <w:tc>
              <w:tcPr>
                <w:tcW w:w="5595" w:type="dxa"/>
                <w:shd w:val="clear" w:color="auto" w:fill="auto"/>
              </w:tcPr>
              <w:p w14:paraId="6A3CB051" w14:textId="2601382D" w:rsidR="00B327E9" w:rsidRPr="00AB6D88" w:rsidRDefault="00493FAA" w:rsidP="00493FAA">
                <w:pPr>
                  <w:rPr>
                    <w:rStyle w:val="Platzhaltertext"/>
                    <w:rFonts w:cs="Arial"/>
                  </w:rPr>
                </w:pPr>
                <w:r w:rsidRPr="00493FAA">
                  <w:rPr>
                    <w:lang w:val="en-US"/>
                  </w:rPr>
                  <w:t xml:space="preserve">DSGV – German Savings Banks Association and </w:t>
                </w:r>
                <w:r>
                  <w:rPr>
                    <w:lang w:val="en-US"/>
                  </w:rPr>
                  <w:t>VÖB -</w:t>
                </w:r>
                <w:r w:rsidRPr="00493FAA">
                  <w:rPr>
                    <w:lang w:val="en-US"/>
                  </w:rPr>
                  <w:t xml:space="preserve"> Asso</w:t>
                </w:r>
                <w:r>
                  <w:rPr>
                    <w:lang w:val="en-US"/>
                  </w:rPr>
                  <w:t>ciation of German Public Banks</w:t>
                </w:r>
              </w:p>
            </w:tc>
          </w:sdtContent>
        </w:sdt>
      </w:tr>
      <w:tr w:rsidR="00B327E9" w:rsidRPr="00AB6D88" w14:paraId="6A3CB055" w14:textId="77777777" w:rsidTr="008A74F3">
        <w:tc>
          <w:tcPr>
            <w:tcW w:w="3929" w:type="dxa"/>
            <w:shd w:val="clear" w:color="auto" w:fill="auto"/>
          </w:tcPr>
          <w:p w14:paraId="6A3CB053" w14:textId="77777777" w:rsidR="00B327E9" w:rsidRPr="00E40A5C" w:rsidRDefault="00B327E9" w:rsidP="008A74F3">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4BB9C268" w:rsidR="00B327E9" w:rsidRPr="00AB6D88" w:rsidRDefault="00AE496C" w:rsidP="008A74F3">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93FAA">
                  <w:rPr>
                    <w:rFonts w:cs="Arial"/>
                  </w:rPr>
                  <w:t>Banking sector</w:t>
                </w:r>
              </w:sdtContent>
            </w:sdt>
          </w:p>
        </w:tc>
      </w:tr>
      <w:tr w:rsidR="00B327E9" w:rsidRPr="00AB6D88" w14:paraId="6A3CB058" w14:textId="77777777" w:rsidTr="008A74F3">
        <w:tc>
          <w:tcPr>
            <w:tcW w:w="3929" w:type="dxa"/>
            <w:shd w:val="clear" w:color="auto" w:fill="auto"/>
          </w:tcPr>
          <w:p w14:paraId="6A3CB056" w14:textId="77777777" w:rsidR="00B327E9" w:rsidRPr="00E40A5C" w:rsidRDefault="00B327E9" w:rsidP="008A74F3">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6AECD170" w:rsidR="00B327E9" w:rsidRPr="00AB6D88" w:rsidRDefault="00493FAA" w:rsidP="008A74F3">
                <w:pPr>
                  <w:rPr>
                    <w:rFonts w:cs="Arial"/>
                  </w:rPr>
                </w:pPr>
                <w:r>
                  <w:rPr>
                    <w:rFonts w:ascii="MS Gothic" w:eastAsia="MS Gothic" w:hAnsi="MS Gothic" w:cs="Arial" w:hint="eastAsia"/>
                  </w:rPr>
                  <w:t>☒</w:t>
                </w:r>
              </w:p>
            </w:tc>
          </w:sdtContent>
        </w:sdt>
      </w:tr>
      <w:tr w:rsidR="00B327E9" w:rsidRPr="00AB6D88" w14:paraId="6A3CB05B" w14:textId="77777777" w:rsidTr="008A74F3">
        <w:tc>
          <w:tcPr>
            <w:tcW w:w="3929" w:type="dxa"/>
            <w:shd w:val="clear" w:color="auto" w:fill="auto"/>
          </w:tcPr>
          <w:p w14:paraId="6A3CB059" w14:textId="77777777" w:rsidR="00B327E9" w:rsidRPr="00E40A5C" w:rsidRDefault="00B327E9" w:rsidP="008A74F3">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65994598" w:rsidR="00B327E9" w:rsidRPr="00AB6D88" w:rsidRDefault="00493FAA" w:rsidP="008A74F3">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597D1FF9" w14:textId="6F058709" w:rsidR="00493FAA" w:rsidRDefault="00493FAA" w:rsidP="008A74F3">
      <w:pPr>
        <w:pStyle w:val="Flietext"/>
        <w:rPr>
          <w:rFonts w:asciiTheme="majorHAnsi" w:hAnsiTheme="majorHAnsi"/>
          <w:lang w:val="en-GB"/>
        </w:rPr>
      </w:pPr>
      <w:permStart w:id="411981036" w:edGrp="everyone"/>
      <w:r w:rsidRPr="00142E2F">
        <w:rPr>
          <w:rFonts w:asciiTheme="majorHAnsi" w:hAnsiTheme="majorHAnsi"/>
          <w:lang w:val="en-GB"/>
        </w:rPr>
        <w:t xml:space="preserve">The </w:t>
      </w:r>
      <w:r w:rsidRPr="00142E2F">
        <w:rPr>
          <w:rFonts w:asciiTheme="majorHAnsi" w:hAnsiTheme="majorHAnsi"/>
          <w:iCs/>
          <w:lang w:val="en-US"/>
        </w:rPr>
        <w:t>Deutscher Sparkassen- und Giroverband</w:t>
      </w:r>
      <w:r w:rsidRPr="00142E2F">
        <w:rPr>
          <w:rStyle w:val="Funotenzeichen"/>
          <w:rFonts w:asciiTheme="majorHAnsi" w:hAnsiTheme="majorHAnsi"/>
          <w:lang w:val="en-GB"/>
        </w:rPr>
        <w:footnoteReference w:id="5"/>
      </w:r>
      <w:r w:rsidRPr="00142E2F">
        <w:rPr>
          <w:rFonts w:asciiTheme="majorHAnsi" w:hAnsiTheme="majorHAnsi"/>
          <w:lang w:val="en-GB"/>
        </w:rPr>
        <w:t xml:space="preserve"> and the Bundesverband Öffentlicher Banken (VÖB)</w:t>
      </w:r>
      <w:r w:rsidRPr="00142E2F">
        <w:rPr>
          <w:rStyle w:val="Funotenzeichen"/>
          <w:rFonts w:asciiTheme="majorHAnsi" w:hAnsiTheme="majorHAnsi"/>
          <w:lang w:val="en-GB"/>
        </w:rPr>
        <w:footnoteReference w:id="6"/>
      </w:r>
      <w:r w:rsidRPr="00142E2F">
        <w:rPr>
          <w:rFonts w:asciiTheme="majorHAnsi" w:hAnsiTheme="majorHAnsi"/>
          <w:lang w:val="en-GB"/>
        </w:rPr>
        <w:t xml:space="preserve"> welcome the opportunity to reply to the Consultation Paper. From the perspective of the German savings banks and public banks the review of the PRIIP regulation is very important as the current requirements cause many problem</w:t>
      </w:r>
      <w:r w:rsidR="00042832">
        <w:rPr>
          <w:rFonts w:asciiTheme="majorHAnsi" w:hAnsiTheme="majorHAnsi"/>
          <w:lang w:val="en-GB"/>
        </w:rPr>
        <w:t>s both for investors and banks.</w:t>
      </w:r>
    </w:p>
    <w:p w14:paraId="421A4800" w14:textId="77777777" w:rsidR="00042832" w:rsidRPr="00142E2F" w:rsidRDefault="00042832" w:rsidP="008A74F3">
      <w:pPr>
        <w:pStyle w:val="Flietext"/>
        <w:rPr>
          <w:rFonts w:asciiTheme="majorHAnsi" w:hAnsiTheme="majorHAnsi"/>
          <w:lang w:val="en-GB"/>
        </w:rPr>
      </w:pPr>
    </w:p>
    <w:p w14:paraId="30408786" w14:textId="69355A68" w:rsidR="00493FAA" w:rsidRPr="00142E2F" w:rsidRDefault="00493FAA" w:rsidP="008A74F3">
      <w:pPr>
        <w:pStyle w:val="Flietext"/>
        <w:rPr>
          <w:rFonts w:asciiTheme="majorHAnsi" w:hAnsiTheme="majorHAnsi"/>
          <w:lang w:val="en-GB"/>
        </w:rPr>
      </w:pPr>
      <w:r w:rsidRPr="00142E2F">
        <w:rPr>
          <w:rFonts w:asciiTheme="majorHAnsi" w:hAnsiTheme="majorHAnsi"/>
          <w:lang w:val="en-GB"/>
        </w:rPr>
        <w:t xml:space="preserve">Therefore, we are grateful that the ESAs have undertaken a thorough examination how to improve the KIDs and do not restrict the consultation on certain aspects. Due to the amount of problems caused by the current requirements </w:t>
      </w:r>
      <w:r w:rsidR="00A262C6" w:rsidRPr="00A262C6">
        <w:rPr>
          <w:rFonts w:asciiTheme="majorHAnsi" w:hAnsiTheme="majorHAnsi"/>
          <w:lang w:val="en-GB"/>
        </w:rPr>
        <w:t xml:space="preserve">we strongly advocate not to restrict the review to level 2 </w:t>
      </w:r>
      <w:r w:rsidRPr="00142E2F">
        <w:rPr>
          <w:rFonts w:asciiTheme="majorHAnsi" w:hAnsiTheme="majorHAnsi"/>
          <w:lang w:val="en-GB"/>
        </w:rPr>
        <w:t xml:space="preserve">since the source of many problems </w:t>
      </w:r>
      <w:r w:rsidR="00A262C6">
        <w:rPr>
          <w:rFonts w:asciiTheme="majorHAnsi" w:hAnsiTheme="majorHAnsi"/>
          <w:lang w:val="en-GB"/>
        </w:rPr>
        <w:t>result from</w:t>
      </w:r>
      <w:r w:rsidRPr="00142E2F">
        <w:rPr>
          <w:rFonts w:asciiTheme="majorHAnsi" w:hAnsiTheme="majorHAnsi"/>
          <w:lang w:val="en-GB"/>
        </w:rPr>
        <w:t xml:space="preserve"> level 1 requirements. </w:t>
      </w:r>
    </w:p>
    <w:p w14:paraId="369BE105" w14:textId="77777777" w:rsidR="00493FAA" w:rsidRPr="00142E2F" w:rsidRDefault="00493FAA" w:rsidP="008A74F3">
      <w:pPr>
        <w:pStyle w:val="Flietext"/>
        <w:rPr>
          <w:rFonts w:asciiTheme="majorHAnsi" w:hAnsiTheme="majorHAnsi"/>
          <w:lang w:val="en-GB"/>
        </w:rPr>
      </w:pPr>
    </w:p>
    <w:p w14:paraId="6F93641F" w14:textId="77777777" w:rsidR="00042832" w:rsidRDefault="00493FAA" w:rsidP="00B327E9">
      <w:pPr>
        <w:rPr>
          <w:rFonts w:asciiTheme="majorHAnsi" w:hAnsiTheme="majorHAnsi"/>
        </w:rPr>
      </w:pPr>
      <w:r w:rsidRPr="00142E2F">
        <w:rPr>
          <w:rFonts w:asciiTheme="majorHAnsi" w:hAnsiTheme="majorHAnsi"/>
        </w:rPr>
        <w:t>If the ESAs are of the opinion that certain aspects can only be improved by modifying level I, we would like to encourage the ESAs to submit proposals in this regard.</w:t>
      </w:r>
    </w:p>
    <w:permEnd w:id="411981036"/>
    <w:p w14:paraId="6A3CB062" w14:textId="79273118" w:rsidR="00B327E9" w:rsidRPr="00BF28DA" w:rsidRDefault="00B327E9" w:rsidP="00B327E9">
      <w:r w:rsidRPr="00BF28DA">
        <w:t>&lt;ESA_COMMENT_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5AC74A36" w14:textId="77777777" w:rsidR="00493FAA" w:rsidRPr="00142E2F" w:rsidRDefault="00493FAA" w:rsidP="00493FAA">
      <w:pPr>
        <w:pStyle w:val="Flietext"/>
        <w:rPr>
          <w:rFonts w:asciiTheme="majorHAnsi" w:hAnsiTheme="majorHAnsi"/>
          <w:lang w:val="en-GB"/>
        </w:rPr>
      </w:pPr>
      <w:permStart w:id="1221819945" w:edGrp="everyone"/>
      <w:r w:rsidRPr="00142E2F">
        <w:rPr>
          <w:rFonts w:asciiTheme="majorHAnsi" w:hAnsiTheme="majorHAnsi"/>
          <w:lang w:val="en-GB"/>
        </w:rPr>
        <w:t>The standard provided for in Article 14(2)(a) of the PRIIPs Regulation, according to which the KID in principle has to be provided on paper unless the retail investor requests otherwise, should be reversed in favour of priority for electronic means. Consequently, the KID should in principle be made available electronically and on paper only on request. In this way, the legislator would take account of the increasing digitisation and the parallel sustainability initiatives (in this respect, also see answer to question 5). If priority of electronic provision is not desired, provision on paper and electronically should at least be placed on an equal footing.</w:t>
      </w:r>
    </w:p>
    <w:p w14:paraId="2A76D94D" w14:textId="77777777" w:rsidR="00493FAA" w:rsidRPr="00142E2F" w:rsidRDefault="00493FAA" w:rsidP="00493FAA">
      <w:pPr>
        <w:pStyle w:val="Flietext"/>
        <w:rPr>
          <w:rFonts w:asciiTheme="majorHAnsi" w:hAnsiTheme="majorHAnsi"/>
          <w:lang w:val="en-GB"/>
        </w:rPr>
      </w:pPr>
    </w:p>
    <w:p w14:paraId="2C7B3717" w14:textId="77777777" w:rsidR="00493FAA" w:rsidRPr="00142E2F" w:rsidRDefault="00493FAA" w:rsidP="00493FAA">
      <w:pPr>
        <w:pStyle w:val="Flietext"/>
        <w:rPr>
          <w:rFonts w:asciiTheme="majorHAnsi" w:hAnsiTheme="majorHAnsi"/>
          <w:lang w:val="en-GB"/>
        </w:rPr>
      </w:pPr>
      <w:r w:rsidRPr="00142E2F">
        <w:rPr>
          <w:rFonts w:asciiTheme="majorHAnsi" w:hAnsiTheme="majorHAnsi"/>
          <w:lang w:val="en-GB"/>
        </w:rPr>
        <w:t xml:space="preserve">A further barrier to digital solutions is the current version of Article 14(6) of the PRIIPs Regulation. Its second sentence should be amended to the effect that evidence of online access can also be provided in a way other than by providing an e-mail address. For example, participation in the electronic mailbox system of a bank or savings bank should suffice for this purpose. </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1BEDEDA3" w14:textId="12F3D29F" w:rsidR="00455FBE" w:rsidRPr="00142E2F" w:rsidRDefault="00455FBE" w:rsidP="008A74F3">
      <w:pPr>
        <w:pStyle w:val="Flietext"/>
        <w:rPr>
          <w:rFonts w:asciiTheme="majorHAnsi" w:hAnsiTheme="majorHAnsi"/>
          <w:lang w:val="en-GB"/>
        </w:rPr>
      </w:pPr>
      <w:permStart w:id="729947415" w:edGrp="everyone"/>
      <w:r w:rsidRPr="00142E2F">
        <w:rPr>
          <w:rFonts w:asciiTheme="majorHAnsi" w:hAnsiTheme="majorHAnsi"/>
          <w:lang w:val="en-GB"/>
        </w:rPr>
        <w:t xml:space="preserve">No. Since the content of the KIDs is not suitable for IT-based extraction, other formats have been developed on the market for how the manufacturers provide the information to the distributors for their processes. On the German market, this takes place through central databases. </w:t>
      </w:r>
      <w:r w:rsidR="00A262C6">
        <w:rPr>
          <w:rFonts w:asciiTheme="majorHAnsi" w:hAnsiTheme="majorHAnsi"/>
          <w:lang w:val="en-GB"/>
        </w:rPr>
        <w:t>S</w:t>
      </w:r>
      <w:r w:rsidRPr="00142E2F">
        <w:rPr>
          <w:rFonts w:asciiTheme="majorHAnsi" w:hAnsiTheme="majorHAnsi"/>
          <w:lang w:val="en-GB"/>
        </w:rPr>
        <w:t>tandardisation of data needed for sales processes for the European market as a whole</w:t>
      </w:r>
      <w:r w:rsidR="00A262C6">
        <w:rPr>
          <w:rFonts w:asciiTheme="majorHAnsi" w:hAnsiTheme="majorHAnsi"/>
          <w:lang w:val="en-GB"/>
        </w:rPr>
        <w:t xml:space="preserve"> is in ongoing discussion</w:t>
      </w:r>
      <w:r w:rsidRPr="00142E2F">
        <w:rPr>
          <w:rFonts w:asciiTheme="majorHAnsi" w:hAnsiTheme="majorHAnsi"/>
          <w:lang w:val="en-GB"/>
        </w:rPr>
        <w:t xml:space="preserve">. </w:t>
      </w:r>
    </w:p>
    <w:p w14:paraId="11C252F2" w14:textId="77777777" w:rsidR="00455FBE" w:rsidRPr="00142E2F" w:rsidRDefault="00455FBE" w:rsidP="008A74F3">
      <w:pPr>
        <w:pStyle w:val="Flietext"/>
        <w:rPr>
          <w:rFonts w:asciiTheme="majorHAnsi" w:hAnsiTheme="majorHAnsi"/>
          <w:lang w:val="en-GB"/>
        </w:rPr>
      </w:pPr>
    </w:p>
    <w:p w14:paraId="45E99D98" w14:textId="77777777" w:rsidR="00042832" w:rsidRDefault="00455FBE" w:rsidP="003E573C">
      <w:pPr>
        <w:rPr>
          <w:rFonts w:asciiTheme="majorHAnsi" w:hAnsiTheme="majorHAnsi"/>
        </w:rPr>
      </w:pPr>
      <w:r w:rsidRPr="00142E2F">
        <w:rPr>
          <w:rFonts w:asciiTheme="majorHAnsi" w:hAnsiTheme="majorHAnsi"/>
        </w:rPr>
        <w:t xml:space="preserve">There is therefore no need to adapt the KIDs so that their content can be extracted. Adaptations in this respect would entail unnecessary and enormously expensive implementation efforts when there is no demand from the distributors. For these reasons, the idea should not be pursued further. </w:t>
      </w:r>
    </w:p>
    <w:permEnd w:id="729947415"/>
    <w:p w14:paraId="6415E03C" w14:textId="35BD9AD5"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258198C0" w14:textId="77777777" w:rsidR="00455FBE" w:rsidRDefault="00455FBE" w:rsidP="008A74F3">
      <w:pPr>
        <w:pStyle w:val="Flietext"/>
        <w:rPr>
          <w:rFonts w:asciiTheme="majorHAnsi" w:hAnsiTheme="majorHAnsi"/>
          <w:lang w:val="en-GB"/>
        </w:rPr>
      </w:pPr>
      <w:permStart w:id="677205538" w:edGrp="everyone"/>
      <w:r w:rsidRPr="00142E2F">
        <w:rPr>
          <w:rFonts w:asciiTheme="majorHAnsi" w:hAnsiTheme="majorHAnsi"/>
          <w:lang w:val="en-GB"/>
        </w:rPr>
        <w:t>The content of the key information documents (KIDs) drawn up according to the legal requirements is problematic at various points, which confuses investors more than it helps them. KIDs therefore rightly come in for massive criticism – including precisely by consumer protectors. For this reason, it is essential for improveme</w:t>
      </w:r>
      <w:r>
        <w:rPr>
          <w:rFonts w:asciiTheme="majorHAnsi" w:hAnsiTheme="majorHAnsi"/>
          <w:lang w:val="en-GB"/>
        </w:rPr>
        <w:t xml:space="preserve">nts to be worked out carefully. </w:t>
      </w:r>
      <w:r w:rsidRPr="00142E2F">
        <w:rPr>
          <w:rFonts w:asciiTheme="majorHAnsi" w:hAnsiTheme="majorHAnsi"/>
          <w:lang w:val="en-GB"/>
        </w:rPr>
        <w:t>Regulations should also be amended at level I, if necessary. A real, lasting solution to a problem therefore takes precedence over a rapid, superficial solution. Irrespective of how quickly the regulator achieves a result, the addressees of the regulation must be left sufficient time for implementation.</w:t>
      </w:r>
    </w:p>
    <w:p w14:paraId="77CDC621" w14:textId="77777777" w:rsidR="00455FBE" w:rsidRPr="00142E2F" w:rsidRDefault="00455FBE" w:rsidP="008A74F3">
      <w:pPr>
        <w:pStyle w:val="Flietext"/>
        <w:rPr>
          <w:rFonts w:asciiTheme="majorHAnsi" w:hAnsiTheme="majorHAnsi"/>
          <w:lang w:val="en-GB"/>
        </w:rPr>
      </w:pPr>
    </w:p>
    <w:p w14:paraId="56D8C672" w14:textId="77777777" w:rsidR="00042832" w:rsidRDefault="00455FBE" w:rsidP="003E573C">
      <w:pPr>
        <w:rPr>
          <w:rFonts w:asciiTheme="majorHAnsi" w:hAnsiTheme="majorHAnsi"/>
        </w:rPr>
      </w:pPr>
      <w:r w:rsidRPr="00142E2F">
        <w:rPr>
          <w:rFonts w:asciiTheme="majorHAnsi" w:hAnsiTheme="majorHAnsi"/>
        </w:rPr>
        <w:t>In our view, the consequence will necessarily be that adaptations for the present PRIIPs can be applied only on entry into force of the fund regulations in January 2022.</w:t>
      </w:r>
    </w:p>
    <w:permEnd w:id="677205538"/>
    <w:p w14:paraId="54D6583E" w14:textId="3F706B7F"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lastRenderedPageBreak/>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4DC3303B" w14:textId="77777777" w:rsidR="00455FBE" w:rsidRPr="00142E2F" w:rsidRDefault="00455FBE" w:rsidP="00455FBE">
      <w:pPr>
        <w:pStyle w:val="Flietext"/>
        <w:rPr>
          <w:rFonts w:asciiTheme="majorHAnsi" w:hAnsiTheme="majorHAnsi"/>
          <w:lang w:val="en-GB"/>
        </w:rPr>
      </w:pPr>
      <w:permStart w:id="1220688604" w:edGrp="everyone"/>
      <w:r w:rsidRPr="00142E2F">
        <w:rPr>
          <w:rFonts w:asciiTheme="majorHAnsi" w:hAnsiTheme="majorHAnsi"/>
          <w:lang w:val="en-GB"/>
        </w:rPr>
        <w:t>A graduated introduction of new regulations is not really feasible for the reasons set out above. In our view, the immense problems caused by the existing provisions must be analysed very carefully to achieve improvements. The improvement measures should be the subject of public consultation and consumer testing to identify and remedy weaknesses. In this respect, it is a matter of thoroughness before speed!</w:t>
      </w:r>
    </w:p>
    <w:p w14:paraId="541E3940" w14:textId="77777777" w:rsidR="00455FBE" w:rsidRPr="00142E2F" w:rsidRDefault="00455FBE" w:rsidP="00455FBE">
      <w:pPr>
        <w:pStyle w:val="Flietext"/>
        <w:rPr>
          <w:rFonts w:asciiTheme="majorHAnsi" w:hAnsiTheme="majorHAnsi"/>
          <w:lang w:val="en-GB"/>
        </w:rPr>
      </w:pPr>
    </w:p>
    <w:p w14:paraId="268722B8"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Furthermore, sufficient time should be given prior to the implementation of adaptations. The transposition deadline after publication of the amended Delegated Regulation should not be less than one year under any circumstances. If this is assumed, transposition before 2022 is not really an option, so the aim should be for parallel entry into force for current PRIIPs and funds. </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2ADD483" w14:textId="77777777" w:rsidR="00455FBE" w:rsidRPr="00142E2F" w:rsidRDefault="00455FBE" w:rsidP="00455FBE">
      <w:pPr>
        <w:pStyle w:val="Flietext"/>
        <w:rPr>
          <w:rFonts w:asciiTheme="majorHAnsi" w:hAnsiTheme="majorHAnsi"/>
          <w:lang w:val="en-GB"/>
        </w:rPr>
      </w:pPr>
      <w:permStart w:id="209390932" w:edGrp="everyone"/>
      <w:r w:rsidRPr="00142E2F">
        <w:rPr>
          <w:rFonts w:asciiTheme="majorHAnsi" w:hAnsiTheme="majorHAnsi"/>
          <w:lang w:val="en-GB"/>
        </w:rPr>
        <w:t>In our view, a large number of urgent problems of the PRIIPs Regulation are not discussed in the consultation paper (CP). These include the following points in particular:</w:t>
      </w:r>
    </w:p>
    <w:p w14:paraId="21BE7AEF" w14:textId="77777777" w:rsidR="00455FBE" w:rsidRPr="00142E2F" w:rsidRDefault="00455FBE" w:rsidP="00455FBE">
      <w:pPr>
        <w:pStyle w:val="Flietext"/>
        <w:rPr>
          <w:rFonts w:asciiTheme="majorHAnsi" w:hAnsiTheme="majorHAnsi"/>
          <w:lang w:val="en-GB"/>
        </w:rPr>
      </w:pPr>
    </w:p>
    <w:p w14:paraId="237EF865" w14:textId="1077CB26" w:rsidR="00455FBE" w:rsidRPr="00142E2F" w:rsidRDefault="00455FBE" w:rsidP="00042832">
      <w:pPr>
        <w:pStyle w:val="Flietext"/>
        <w:numPr>
          <w:ilvl w:val="0"/>
          <w:numId w:val="44"/>
        </w:numPr>
        <w:ind w:left="426" w:hanging="426"/>
        <w:rPr>
          <w:rFonts w:asciiTheme="majorHAnsi" w:hAnsiTheme="majorHAnsi"/>
          <w:b/>
          <w:lang w:val="en-GB"/>
        </w:rPr>
      </w:pPr>
      <w:r w:rsidRPr="00142E2F">
        <w:rPr>
          <w:rFonts w:asciiTheme="majorHAnsi" w:hAnsiTheme="majorHAnsi"/>
          <w:b/>
          <w:lang w:val="en-GB"/>
        </w:rPr>
        <w:t xml:space="preserve">No restriction of the review to level II </w:t>
      </w:r>
    </w:p>
    <w:p w14:paraId="590BFECD" w14:textId="77777777" w:rsidR="00455FBE" w:rsidRPr="00142E2F" w:rsidRDefault="00455FBE" w:rsidP="00455FBE">
      <w:pPr>
        <w:pStyle w:val="Flietext"/>
        <w:rPr>
          <w:rFonts w:asciiTheme="majorHAnsi" w:hAnsiTheme="majorHAnsi"/>
          <w:lang w:val="en-GB"/>
        </w:rPr>
      </w:pPr>
    </w:p>
    <w:p w14:paraId="3C3ADC95" w14:textId="228B19ED"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We support the start made by the European Supervisory Authorities (ESAs) on comprehensive examination of the problems which have arisen and devising of open-ended solutions. If it is found that the existing problems cannot be remedied without amendments to the level I text, the level I requirements must also be addressed. For investors, it would be hard to understand if they continue to receive erroneous KIDs and the reason given is that the </w:t>
      </w:r>
      <w:r w:rsidR="00A262C6">
        <w:rPr>
          <w:rFonts w:asciiTheme="majorHAnsi" w:hAnsiTheme="majorHAnsi"/>
          <w:lang w:val="en-GB"/>
        </w:rPr>
        <w:t>mistakes result from</w:t>
      </w:r>
      <w:r w:rsidRPr="00142E2F">
        <w:rPr>
          <w:rFonts w:asciiTheme="majorHAnsi" w:hAnsiTheme="majorHAnsi"/>
          <w:lang w:val="en-GB"/>
        </w:rPr>
        <w:t xml:space="preserve"> </w:t>
      </w:r>
      <w:r w:rsidR="00A262C6">
        <w:rPr>
          <w:rFonts w:asciiTheme="majorHAnsi" w:hAnsiTheme="majorHAnsi"/>
          <w:lang w:val="en-GB"/>
        </w:rPr>
        <w:t>level 1, which the EU-Commission refuses to</w:t>
      </w:r>
      <w:r w:rsidRPr="00142E2F">
        <w:rPr>
          <w:rFonts w:asciiTheme="majorHAnsi" w:hAnsiTheme="majorHAnsi"/>
          <w:lang w:val="en-GB"/>
        </w:rPr>
        <w:t xml:space="preserve"> amend. This is especially the case given that the PRIIPs Regulation contains no restriction of the review to level II requirements. On the contrary: according to the legal provisions, the review is also to cover the scope (see in particular Article 33(1), second subparagraph, PRIIPs Regulation). The restriction to level II is more of a political decision.</w:t>
      </w:r>
    </w:p>
    <w:p w14:paraId="392D1F5D" w14:textId="77777777" w:rsidR="00455FBE" w:rsidRPr="00142E2F" w:rsidRDefault="00455FBE" w:rsidP="00455FBE">
      <w:pPr>
        <w:pStyle w:val="Flietext"/>
        <w:rPr>
          <w:rFonts w:asciiTheme="majorHAnsi" w:hAnsiTheme="majorHAnsi"/>
          <w:lang w:val="en-GB"/>
        </w:rPr>
      </w:pPr>
    </w:p>
    <w:p w14:paraId="13190775" w14:textId="77777777" w:rsidR="00455FBE" w:rsidRPr="00142E2F" w:rsidRDefault="00455FBE" w:rsidP="00B63AB5">
      <w:pPr>
        <w:pStyle w:val="Flietext"/>
        <w:numPr>
          <w:ilvl w:val="0"/>
          <w:numId w:val="40"/>
        </w:numPr>
        <w:ind w:left="426" w:hanging="426"/>
        <w:rPr>
          <w:rFonts w:asciiTheme="majorHAnsi" w:hAnsiTheme="majorHAnsi"/>
          <w:b/>
          <w:lang w:val="en-GB"/>
        </w:rPr>
      </w:pPr>
      <w:r w:rsidRPr="00142E2F">
        <w:rPr>
          <w:rFonts w:asciiTheme="majorHAnsi" w:hAnsiTheme="majorHAnsi"/>
          <w:b/>
          <w:lang w:val="en-GB"/>
        </w:rPr>
        <w:t>Clarification of open issues concerning the scope</w:t>
      </w:r>
    </w:p>
    <w:p w14:paraId="423FD0B8" w14:textId="77777777" w:rsidR="00455FBE" w:rsidRPr="00142E2F" w:rsidRDefault="00455FBE" w:rsidP="00455FBE">
      <w:pPr>
        <w:pStyle w:val="Flietext"/>
        <w:rPr>
          <w:rFonts w:asciiTheme="majorHAnsi" w:hAnsiTheme="majorHAnsi"/>
          <w:lang w:val="en-GB"/>
        </w:rPr>
      </w:pPr>
    </w:p>
    <w:p w14:paraId="25370C0C" w14:textId="0D99BBA2" w:rsidR="00455FBE" w:rsidRDefault="00455FBE" w:rsidP="00455FBE">
      <w:pPr>
        <w:pStyle w:val="Flietext"/>
        <w:rPr>
          <w:rFonts w:asciiTheme="majorHAnsi" w:hAnsiTheme="majorHAnsi"/>
          <w:lang w:val="en-GB"/>
        </w:rPr>
      </w:pPr>
      <w:r w:rsidRPr="00142E2F">
        <w:rPr>
          <w:rFonts w:asciiTheme="majorHAnsi" w:hAnsiTheme="majorHAnsi"/>
          <w:lang w:val="en-GB"/>
        </w:rPr>
        <w:t>The scope of the PRIIPs Regulation is not sufficiently clearly defined, which gives rise to doubt for a series of products as to whether or not these products are PRIIPs. These include, for example, simple bonds with make-whole clauses or OTC derivatives, which frequently are not investment products (on th</w:t>
      </w:r>
      <w:r w:rsidR="00042832">
        <w:rPr>
          <w:rFonts w:asciiTheme="majorHAnsi" w:hAnsiTheme="majorHAnsi"/>
          <w:lang w:val="en-GB"/>
        </w:rPr>
        <w:t>is subject, also see under 2.).</w:t>
      </w:r>
    </w:p>
    <w:p w14:paraId="5DBFEBCC" w14:textId="77777777" w:rsidR="00042832" w:rsidRPr="00142E2F" w:rsidRDefault="00042832" w:rsidP="00455FBE">
      <w:pPr>
        <w:pStyle w:val="Flietext"/>
        <w:rPr>
          <w:rFonts w:asciiTheme="majorHAnsi" w:hAnsiTheme="majorHAnsi"/>
          <w:lang w:val="en-GB"/>
        </w:rPr>
      </w:pPr>
    </w:p>
    <w:p w14:paraId="4BD5DCBC"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The European Supervisory Authorities (ESAs) have given guidance on bonds through publications (Joint ESA Supervisory Statement – application of scope of the PRIIPs Regulation to bonds of 24.10.2019 – JC-2019-64) in </w:t>
      </w:r>
      <w:r w:rsidRPr="00142E2F">
        <w:rPr>
          <w:rFonts w:asciiTheme="majorHAnsi" w:hAnsiTheme="majorHAnsi"/>
          <w:lang w:val="en-GB"/>
        </w:rPr>
        <w:lastRenderedPageBreak/>
        <w:t xml:space="preserve">order to reduce the existing legal uncertainty. However, in the context of the review, it is essential that clarifications are given at legislative level. </w:t>
      </w:r>
    </w:p>
    <w:p w14:paraId="6681F0DC" w14:textId="77777777" w:rsidR="00455FBE" w:rsidRPr="00142E2F" w:rsidRDefault="00455FBE" w:rsidP="00455FBE">
      <w:pPr>
        <w:pStyle w:val="Flietext"/>
        <w:rPr>
          <w:rFonts w:asciiTheme="majorHAnsi" w:hAnsiTheme="majorHAnsi"/>
          <w:lang w:val="en-GB"/>
        </w:rPr>
      </w:pPr>
    </w:p>
    <w:p w14:paraId="22021C96" w14:textId="77777777" w:rsidR="00455FBE" w:rsidRPr="00142E2F" w:rsidRDefault="00455FBE" w:rsidP="00B63AB5">
      <w:pPr>
        <w:pStyle w:val="Flietext"/>
        <w:numPr>
          <w:ilvl w:val="0"/>
          <w:numId w:val="40"/>
        </w:numPr>
        <w:ind w:left="426" w:hanging="426"/>
        <w:rPr>
          <w:rFonts w:asciiTheme="majorHAnsi" w:hAnsiTheme="majorHAnsi"/>
          <w:b/>
          <w:lang w:val="en-GB"/>
        </w:rPr>
      </w:pPr>
      <w:r w:rsidRPr="00142E2F">
        <w:rPr>
          <w:rFonts w:asciiTheme="majorHAnsi" w:hAnsiTheme="majorHAnsi"/>
          <w:b/>
          <w:lang w:val="en-GB"/>
        </w:rPr>
        <w:t>Adaptations with respect to funds</w:t>
      </w:r>
    </w:p>
    <w:p w14:paraId="460F7937" w14:textId="77777777" w:rsidR="00455FBE" w:rsidRPr="00142E2F" w:rsidRDefault="00455FBE" w:rsidP="00455FBE">
      <w:pPr>
        <w:pStyle w:val="Flietext"/>
        <w:rPr>
          <w:rFonts w:asciiTheme="majorHAnsi" w:hAnsiTheme="majorHAnsi"/>
          <w:lang w:val="en-GB"/>
        </w:rPr>
      </w:pPr>
    </w:p>
    <w:p w14:paraId="5AA9FAD6"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The level I requirements must also be examined no later than on the extension of the PRIIPs Regulation to funds. The PRIIPs Regulation is manifestly not tailored to funds, which becomes clear in some provisions (e.g. the regulation on savings plans in Article 13(4), which is not appropriate for the mass-produced fund savings plan, also see answer to question 45). </w:t>
      </w:r>
    </w:p>
    <w:p w14:paraId="4608C500" w14:textId="77777777" w:rsidR="00455FBE" w:rsidRPr="00142E2F" w:rsidRDefault="00455FBE" w:rsidP="00455FBE">
      <w:pPr>
        <w:pStyle w:val="Flietext"/>
        <w:rPr>
          <w:rFonts w:asciiTheme="majorHAnsi" w:hAnsiTheme="majorHAnsi"/>
          <w:lang w:val="en-GB"/>
        </w:rPr>
      </w:pPr>
    </w:p>
    <w:p w14:paraId="597A61FF" w14:textId="77777777" w:rsidR="00455FBE" w:rsidRPr="00142E2F" w:rsidRDefault="00455FBE" w:rsidP="00B63AB5">
      <w:pPr>
        <w:pStyle w:val="Flietext"/>
        <w:numPr>
          <w:ilvl w:val="0"/>
          <w:numId w:val="40"/>
        </w:numPr>
        <w:ind w:left="426" w:hanging="426"/>
        <w:rPr>
          <w:rFonts w:asciiTheme="majorHAnsi" w:hAnsiTheme="majorHAnsi"/>
          <w:b/>
          <w:lang w:val="en-GB"/>
        </w:rPr>
      </w:pPr>
      <w:r w:rsidRPr="00142E2F">
        <w:rPr>
          <w:rFonts w:asciiTheme="majorHAnsi" w:hAnsiTheme="majorHAnsi"/>
          <w:b/>
          <w:lang w:val="en-GB"/>
        </w:rPr>
        <w:t>Placing provision on paper and electronically on an equal footing</w:t>
      </w:r>
    </w:p>
    <w:p w14:paraId="470E5B0A" w14:textId="77777777" w:rsidR="00455FBE" w:rsidRPr="00142E2F" w:rsidRDefault="00455FBE" w:rsidP="00455FBE">
      <w:pPr>
        <w:pStyle w:val="Flietext"/>
        <w:rPr>
          <w:rFonts w:asciiTheme="majorHAnsi" w:hAnsiTheme="majorHAnsi"/>
          <w:lang w:val="en-GB"/>
        </w:rPr>
      </w:pPr>
    </w:p>
    <w:p w14:paraId="0CC75B96"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The PRIIPs Regulation gives precedence to provision of KIDs on paper. This high consumption of resources is incomprehensible in view of increasing digitisation and the sustainability objectives pursued by the EU. Here too, the level I legislator should act and provide for electronic provision of documents at least as an equivalent alternative (also see reply to question 1). </w:t>
      </w:r>
    </w:p>
    <w:p w14:paraId="571151DF" w14:textId="77777777" w:rsidR="00455FBE" w:rsidRPr="00142E2F" w:rsidRDefault="00455FBE" w:rsidP="00455FBE">
      <w:pPr>
        <w:pStyle w:val="Flietext"/>
        <w:rPr>
          <w:rFonts w:asciiTheme="majorHAnsi" w:hAnsiTheme="majorHAnsi"/>
          <w:lang w:val="en-GB"/>
        </w:rPr>
      </w:pPr>
    </w:p>
    <w:p w14:paraId="4E7EC3AF" w14:textId="77777777" w:rsidR="00455FBE" w:rsidRPr="00142E2F" w:rsidRDefault="00455FBE" w:rsidP="00B63AB5">
      <w:pPr>
        <w:pStyle w:val="Flietext"/>
        <w:numPr>
          <w:ilvl w:val="0"/>
          <w:numId w:val="40"/>
        </w:numPr>
        <w:ind w:left="426" w:hanging="426"/>
        <w:rPr>
          <w:rFonts w:asciiTheme="majorHAnsi" w:hAnsiTheme="majorHAnsi"/>
          <w:b/>
          <w:lang w:val="en-GB"/>
        </w:rPr>
      </w:pPr>
      <w:r w:rsidRPr="00142E2F">
        <w:rPr>
          <w:rFonts w:asciiTheme="majorHAnsi" w:hAnsiTheme="majorHAnsi"/>
          <w:b/>
          <w:lang w:val="en-GB"/>
        </w:rPr>
        <w:t>Abandonment of the three-page restriction</w:t>
      </w:r>
    </w:p>
    <w:p w14:paraId="7025EB16" w14:textId="77777777" w:rsidR="00455FBE" w:rsidRPr="00142E2F" w:rsidRDefault="00455FBE" w:rsidP="00455FBE">
      <w:pPr>
        <w:pStyle w:val="Flietext"/>
        <w:rPr>
          <w:rFonts w:asciiTheme="majorHAnsi" w:hAnsiTheme="majorHAnsi"/>
          <w:lang w:val="en-GB"/>
        </w:rPr>
      </w:pPr>
    </w:p>
    <w:p w14:paraId="79B89503"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Several measures are proposed in the CP, which would lead to an extension of the content. Implementation of these supplements is possible only if the restriction of the KIDs to three pages is abandoned. </w:t>
      </w:r>
    </w:p>
    <w:p w14:paraId="39399531" w14:textId="77777777" w:rsidR="00455FBE" w:rsidRPr="00142E2F" w:rsidRDefault="00455FBE" w:rsidP="00455FBE">
      <w:pPr>
        <w:pStyle w:val="Flietext"/>
        <w:rPr>
          <w:rFonts w:asciiTheme="majorHAnsi" w:hAnsiTheme="majorHAnsi"/>
          <w:lang w:val="en-GB"/>
        </w:rPr>
      </w:pPr>
    </w:p>
    <w:p w14:paraId="711D5170" w14:textId="331CA820" w:rsidR="00455FBE" w:rsidRPr="00142E2F" w:rsidRDefault="00455FBE" w:rsidP="00042832">
      <w:pPr>
        <w:pStyle w:val="Flietext"/>
        <w:numPr>
          <w:ilvl w:val="0"/>
          <w:numId w:val="44"/>
        </w:numPr>
        <w:ind w:left="426" w:hanging="426"/>
        <w:rPr>
          <w:rFonts w:asciiTheme="majorHAnsi" w:hAnsiTheme="majorHAnsi"/>
          <w:b/>
          <w:lang w:val="en-GB"/>
        </w:rPr>
      </w:pPr>
      <w:r w:rsidRPr="00142E2F">
        <w:rPr>
          <w:rFonts w:asciiTheme="majorHAnsi" w:hAnsiTheme="majorHAnsi"/>
          <w:b/>
          <w:lang w:val="en-GB"/>
        </w:rPr>
        <w:t xml:space="preserve">Restriction of the scope to investment products </w:t>
      </w:r>
    </w:p>
    <w:p w14:paraId="0CCA3153" w14:textId="77777777" w:rsidR="00455FBE" w:rsidRPr="00142E2F" w:rsidRDefault="00455FBE" w:rsidP="00455FBE">
      <w:pPr>
        <w:pStyle w:val="Flietext"/>
        <w:ind w:left="720"/>
        <w:rPr>
          <w:rFonts w:asciiTheme="majorHAnsi" w:hAnsiTheme="majorHAnsi"/>
          <w:b/>
          <w:lang w:val="en-GB"/>
        </w:rPr>
      </w:pPr>
    </w:p>
    <w:p w14:paraId="43D2E58A" w14:textId="77777777" w:rsidR="00455FBE" w:rsidRPr="00B0360E" w:rsidRDefault="00455FBE" w:rsidP="00042832">
      <w:pPr>
        <w:pStyle w:val="Flietext"/>
        <w:rPr>
          <w:rFonts w:asciiTheme="majorHAnsi" w:hAnsiTheme="majorHAnsi"/>
          <w:lang w:val="en-US"/>
        </w:rPr>
      </w:pPr>
      <w:r w:rsidRPr="00B0360E">
        <w:rPr>
          <w:rFonts w:asciiTheme="majorHAnsi" w:hAnsiTheme="majorHAnsi"/>
          <w:lang w:val="en-US"/>
        </w:rPr>
        <w:t xml:space="preserve">The CP does not deal with OTC derivatives, even though the ESAs themselves stated in their Q&amp;A that the existing </w:t>
      </w:r>
      <w:r w:rsidRPr="00042832">
        <w:rPr>
          <w:rFonts w:asciiTheme="majorHAnsi" w:hAnsiTheme="majorHAnsi"/>
          <w:lang w:val="en-GB"/>
        </w:rPr>
        <w:t>requirements</w:t>
      </w:r>
      <w:r w:rsidRPr="00B0360E">
        <w:rPr>
          <w:rFonts w:asciiTheme="majorHAnsi" w:hAnsiTheme="majorHAnsi"/>
          <w:lang w:val="en-US"/>
        </w:rPr>
        <w:t xml:space="preserve"> are not suitable and the KIDs drawn up on the basis of the legal requirements may cause the customers to misunderstand the product. In the Q&amp;A, the ESAs correctly point out that the misleading presentation is primarily attributable to the fact that OTC derivatives are not investment products for which the customer pays an investment amount and receives repayment at the end. Since the current requirements are not appropriate, the ESAs offer the possibility to diverge from the level II requirements in certain cases. Verbatim, the ESAs state:</w:t>
      </w:r>
      <w:r w:rsidRPr="00142E2F">
        <w:rPr>
          <w:rStyle w:val="Funotenzeichen"/>
          <w:rFonts w:asciiTheme="majorHAnsi" w:hAnsiTheme="majorHAnsi"/>
        </w:rPr>
        <w:footnoteReference w:id="7"/>
      </w:r>
    </w:p>
    <w:p w14:paraId="0CBCB54E" w14:textId="77777777" w:rsidR="00455FBE" w:rsidRPr="00142E2F" w:rsidRDefault="00455FBE" w:rsidP="00455FBE">
      <w:pPr>
        <w:rPr>
          <w:rFonts w:asciiTheme="majorHAnsi" w:hAnsiTheme="majorHAnsi"/>
        </w:rPr>
      </w:pPr>
    </w:p>
    <w:p w14:paraId="3E842077" w14:textId="77777777" w:rsidR="00455FBE" w:rsidRPr="00142E2F" w:rsidRDefault="00455FBE" w:rsidP="00455FBE">
      <w:pPr>
        <w:autoSpaceDE w:val="0"/>
        <w:autoSpaceDN w:val="0"/>
        <w:adjustRightInd w:val="0"/>
        <w:ind w:left="708"/>
        <w:rPr>
          <w:rFonts w:asciiTheme="majorHAnsi" w:hAnsiTheme="majorHAnsi"/>
          <w:i/>
          <w:szCs w:val="18"/>
        </w:rPr>
      </w:pPr>
      <w:r w:rsidRPr="00142E2F">
        <w:rPr>
          <w:rFonts w:asciiTheme="majorHAnsi" w:hAnsiTheme="majorHAnsi" w:cs="CIDFont+F1"/>
          <w:i/>
          <w:szCs w:val="18"/>
        </w:rPr>
        <w:t xml:space="preserve">“…. Nonetheless, in view of the heterogeneity of PRIIP products, cases might occur where the verbatim use of the prescribed wording creates a risk that the retail investor will be misinformed about the characteristics of the product. </w:t>
      </w:r>
      <w:r w:rsidRPr="00142E2F">
        <w:rPr>
          <w:rFonts w:asciiTheme="majorHAnsi" w:hAnsiTheme="majorHAnsi" w:cs="CIDFont+F1"/>
          <w:i/>
          <w:color w:val="212121"/>
          <w:szCs w:val="18"/>
        </w:rPr>
        <w:t>It is recognised that this is the case for some of the specific prescribed texts when applied to swaps and similar OTC derivative products which do not require initial payments. In this specific case, it is considered appropriate to adjust the text. ….”</w:t>
      </w:r>
    </w:p>
    <w:p w14:paraId="6DDE58BC" w14:textId="77777777" w:rsidR="00455FBE" w:rsidRPr="00142E2F" w:rsidRDefault="00455FBE" w:rsidP="00455FBE">
      <w:pPr>
        <w:pStyle w:val="Flietext"/>
        <w:rPr>
          <w:rFonts w:asciiTheme="majorHAnsi" w:hAnsiTheme="majorHAnsi"/>
          <w:lang w:val="en-GB"/>
        </w:rPr>
      </w:pPr>
    </w:p>
    <w:p w14:paraId="05FF0688" w14:textId="77777777" w:rsidR="00455FBE" w:rsidRPr="00142E2F" w:rsidRDefault="00455FBE" w:rsidP="00B63AB5">
      <w:pPr>
        <w:pStyle w:val="Flietext"/>
        <w:numPr>
          <w:ilvl w:val="0"/>
          <w:numId w:val="41"/>
        </w:numPr>
        <w:ind w:left="426" w:hanging="426"/>
        <w:rPr>
          <w:rFonts w:asciiTheme="majorHAnsi" w:hAnsiTheme="majorHAnsi"/>
          <w:b/>
          <w:lang w:val="en-GB"/>
        </w:rPr>
      </w:pPr>
      <w:r w:rsidRPr="00142E2F">
        <w:rPr>
          <w:rFonts w:asciiTheme="majorHAnsi" w:hAnsiTheme="majorHAnsi"/>
          <w:b/>
          <w:lang w:val="en-GB"/>
        </w:rPr>
        <w:t xml:space="preserve">Restriction of the scope to investment products </w:t>
      </w:r>
    </w:p>
    <w:p w14:paraId="23AA47FB" w14:textId="77777777" w:rsidR="00455FBE" w:rsidRPr="00142E2F" w:rsidRDefault="00455FBE" w:rsidP="00455FBE">
      <w:pPr>
        <w:pStyle w:val="Flietext"/>
        <w:rPr>
          <w:rFonts w:asciiTheme="majorHAnsi" w:hAnsiTheme="majorHAnsi"/>
          <w:lang w:val="en-GB"/>
        </w:rPr>
      </w:pPr>
    </w:p>
    <w:p w14:paraId="569820FA" w14:textId="34F9D104"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The European legislator should take </w:t>
      </w:r>
      <w:r w:rsidR="00427443">
        <w:rPr>
          <w:rFonts w:asciiTheme="majorHAnsi" w:hAnsiTheme="majorHAnsi"/>
          <w:lang w:val="en-GB"/>
        </w:rPr>
        <w:t>this</w:t>
      </w:r>
      <w:r w:rsidR="00A262C6">
        <w:rPr>
          <w:rFonts w:asciiTheme="majorHAnsi" w:hAnsiTheme="majorHAnsi"/>
          <w:lang w:val="en-GB"/>
        </w:rPr>
        <w:t xml:space="preserve"> </w:t>
      </w:r>
      <w:r w:rsidRPr="00142E2F">
        <w:rPr>
          <w:rFonts w:asciiTheme="majorHAnsi" w:hAnsiTheme="majorHAnsi"/>
          <w:lang w:val="en-GB"/>
        </w:rPr>
        <w:t xml:space="preserve">correct </w:t>
      </w:r>
      <w:r w:rsidR="00A262C6">
        <w:rPr>
          <w:rFonts w:asciiTheme="majorHAnsi" w:hAnsiTheme="majorHAnsi"/>
          <w:lang w:val="en-GB"/>
        </w:rPr>
        <w:t>conclusion</w:t>
      </w:r>
      <w:r w:rsidRPr="00142E2F">
        <w:rPr>
          <w:rFonts w:asciiTheme="majorHAnsi" w:hAnsiTheme="majorHAnsi"/>
          <w:lang w:val="en-GB"/>
        </w:rPr>
        <w:t xml:space="preserve"> </w:t>
      </w:r>
      <w:r w:rsidR="00427443">
        <w:rPr>
          <w:rFonts w:asciiTheme="majorHAnsi" w:hAnsiTheme="majorHAnsi"/>
          <w:lang w:val="en-GB"/>
        </w:rPr>
        <w:t>of</w:t>
      </w:r>
      <w:r w:rsidRPr="00142E2F">
        <w:rPr>
          <w:rFonts w:asciiTheme="majorHAnsi" w:hAnsiTheme="majorHAnsi"/>
          <w:lang w:val="en-GB"/>
        </w:rPr>
        <w:t xml:space="preserve"> the European Supervisory Authorities as an opportunity to exclude OTC derivatives from the scope and to confine it to investment products. This would remove the need to modify the level II requirements. </w:t>
      </w:r>
    </w:p>
    <w:p w14:paraId="25360AE3" w14:textId="77777777" w:rsidR="00455FBE" w:rsidRPr="00142E2F" w:rsidRDefault="00455FBE" w:rsidP="00455FBE">
      <w:pPr>
        <w:pStyle w:val="Flietext"/>
        <w:rPr>
          <w:rFonts w:asciiTheme="majorHAnsi" w:hAnsiTheme="majorHAnsi"/>
          <w:lang w:val="en-GB"/>
        </w:rPr>
      </w:pPr>
    </w:p>
    <w:p w14:paraId="254C67CE" w14:textId="77777777" w:rsidR="00455FBE" w:rsidRPr="00142E2F" w:rsidRDefault="00455FBE" w:rsidP="00B63AB5">
      <w:pPr>
        <w:pStyle w:val="Flietext"/>
        <w:numPr>
          <w:ilvl w:val="0"/>
          <w:numId w:val="41"/>
        </w:numPr>
        <w:ind w:left="426" w:hanging="426"/>
        <w:rPr>
          <w:rFonts w:asciiTheme="majorHAnsi" w:hAnsiTheme="majorHAnsi"/>
          <w:b/>
          <w:lang w:val="en-GB"/>
        </w:rPr>
      </w:pPr>
      <w:r w:rsidRPr="00142E2F">
        <w:rPr>
          <w:rFonts w:asciiTheme="majorHAnsi" w:hAnsiTheme="majorHAnsi"/>
          <w:b/>
          <w:lang w:val="en-GB"/>
        </w:rPr>
        <w:t xml:space="preserve"> Modification of the level II requirements</w:t>
      </w:r>
    </w:p>
    <w:p w14:paraId="7F370C4B" w14:textId="77777777" w:rsidR="00455FBE" w:rsidRPr="00142E2F" w:rsidRDefault="00455FBE" w:rsidP="00455FBE">
      <w:pPr>
        <w:pStyle w:val="Flietext"/>
        <w:rPr>
          <w:rFonts w:asciiTheme="majorHAnsi" w:hAnsiTheme="majorHAnsi"/>
          <w:lang w:val="en-GB"/>
        </w:rPr>
      </w:pPr>
    </w:p>
    <w:p w14:paraId="7DDF9DDE"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If a restriction of the scope to investment products is not wanted, the modifications drawn up by the ESAs should at least be included in the level II texts; in addition, further need for adaptation should be examined. For example, the calculation of performance and costs on the basis of a nominal amount (at level II, this refers to the investment amount) of EUR 10,000 is of little practical relevance, as in practice nominal amounts from EUR 500,000 are usually agreed.</w:t>
      </w:r>
    </w:p>
    <w:p w14:paraId="06B83AF9" w14:textId="77777777" w:rsidR="00455FBE" w:rsidRPr="00142E2F" w:rsidRDefault="00455FBE" w:rsidP="00455FBE">
      <w:pPr>
        <w:pStyle w:val="Flietext"/>
        <w:rPr>
          <w:rFonts w:asciiTheme="majorHAnsi" w:hAnsiTheme="majorHAnsi"/>
          <w:lang w:val="en-GB"/>
        </w:rPr>
      </w:pPr>
    </w:p>
    <w:p w14:paraId="64BB1688"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In addition, the distinction from exchange-traded derivatives (ETDs) should be abandoned. Accordingly, at level II, generic KIDs should be confirmed for OTC derivatives. As a logical consequence, the performance scenarios for OTC derivatives, which on the present basis lead in some cases to absurd results which are confusing for the investor, should also be abandoned. </w:t>
      </w:r>
    </w:p>
    <w:p w14:paraId="785C4275" w14:textId="77777777" w:rsidR="00455FBE" w:rsidRPr="00142E2F" w:rsidRDefault="00455FBE" w:rsidP="00455FBE">
      <w:pPr>
        <w:pStyle w:val="Flietext"/>
        <w:rPr>
          <w:rFonts w:asciiTheme="majorHAnsi" w:hAnsiTheme="majorHAnsi"/>
          <w:lang w:val="en-GB"/>
        </w:rPr>
      </w:pPr>
    </w:p>
    <w:p w14:paraId="066E87A8"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Because of the current KID´s imperfections</w:t>
      </w:r>
      <w:r w:rsidRPr="00142E2F">
        <w:rPr>
          <w:rFonts w:asciiTheme="majorHAnsi" w:hAnsiTheme="majorHAnsi"/>
          <w:lang w:val="en-US"/>
        </w:rPr>
        <w:t xml:space="preserve"> </w:t>
      </w:r>
      <w:r w:rsidRPr="00142E2F">
        <w:rPr>
          <w:rFonts w:asciiTheme="majorHAnsi" w:hAnsiTheme="majorHAnsi"/>
          <w:lang w:val="en-GB"/>
        </w:rPr>
        <w:t>many credit institutions use accompanying product descriptions to inform their customers about the specifics of their products.</w:t>
      </w:r>
    </w:p>
    <w:p w14:paraId="5956E2F7" w14:textId="77777777" w:rsidR="00455FBE" w:rsidRPr="00142E2F" w:rsidRDefault="00455FBE" w:rsidP="00455FBE">
      <w:pPr>
        <w:pStyle w:val="Flietext"/>
        <w:rPr>
          <w:rFonts w:asciiTheme="majorHAnsi" w:hAnsiTheme="majorHAnsi"/>
          <w:lang w:val="en-GB"/>
        </w:rPr>
      </w:pPr>
    </w:p>
    <w:p w14:paraId="754DFAA3" w14:textId="77777777" w:rsidR="00455FBE" w:rsidRPr="00142E2F" w:rsidRDefault="00455FBE" w:rsidP="00042832">
      <w:pPr>
        <w:pStyle w:val="Flietext"/>
        <w:numPr>
          <w:ilvl w:val="0"/>
          <w:numId w:val="44"/>
        </w:numPr>
        <w:ind w:left="426" w:hanging="426"/>
        <w:rPr>
          <w:rFonts w:asciiTheme="majorHAnsi" w:hAnsiTheme="majorHAnsi"/>
          <w:b/>
          <w:lang w:val="en-GB"/>
        </w:rPr>
      </w:pPr>
      <w:r w:rsidRPr="00142E2F">
        <w:rPr>
          <w:rFonts w:asciiTheme="majorHAnsi" w:hAnsiTheme="majorHAnsi"/>
          <w:b/>
          <w:lang w:val="en-GB"/>
        </w:rPr>
        <w:t>Historic costs</w:t>
      </w:r>
    </w:p>
    <w:p w14:paraId="4B954868" w14:textId="77777777" w:rsidR="00455FBE" w:rsidRPr="00142E2F" w:rsidRDefault="00455FBE" w:rsidP="00455FBE">
      <w:pPr>
        <w:pStyle w:val="Flietext"/>
        <w:ind w:left="360"/>
        <w:rPr>
          <w:rFonts w:asciiTheme="majorHAnsi" w:hAnsiTheme="majorHAnsi"/>
          <w:b/>
          <w:lang w:val="en-GB"/>
        </w:rPr>
      </w:pPr>
    </w:p>
    <w:p w14:paraId="3907AE19" w14:textId="77777777" w:rsidR="00455FBE" w:rsidRPr="00142E2F" w:rsidRDefault="00455FBE" w:rsidP="00455FBE">
      <w:pPr>
        <w:pStyle w:val="wText"/>
        <w:spacing w:after="0" w:line="300" w:lineRule="exact"/>
        <w:rPr>
          <w:rFonts w:asciiTheme="majorHAnsi" w:hAnsiTheme="majorHAnsi" w:cs="Arial"/>
          <w:sz w:val="20"/>
          <w:szCs w:val="20"/>
          <w:lang w:val="en-GB"/>
        </w:rPr>
      </w:pPr>
      <w:r w:rsidRPr="00142E2F">
        <w:rPr>
          <w:rFonts w:asciiTheme="majorHAnsi" w:hAnsiTheme="majorHAnsi" w:cs="Arial"/>
          <w:sz w:val="20"/>
          <w:szCs w:val="20"/>
          <w:lang w:val="en-GB"/>
        </w:rPr>
        <w:t xml:space="preserve">According to point 83 of Annex VI to the PRIIPs RTS, information about the ratios that were applicable during previous years/periods is to be published at the location which is specified in the KID as the general source of further information for investors who require it. </w:t>
      </w:r>
    </w:p>
    <w:p w14:paraId="76AED9A2" w14:textId="77777777" w:rsidR="00455FBE" w:rsidRPr="00142E2F" w:rsidRDefault="00455FBE" w:rsidP="00455FBE">
      <w:pPr>
        <w:pStyle w:val="wText"/>
        <w:spacing w:after="0" w:line="300" w:lineRule="exact"/>
        <w:rPr>
          <w:rFonts w:asciiTheme="majorHAnsi" w:hAnsiTheme="majorHAnsi" w:cs="Arial"/>
          <w:sz w:val="20"/>
          <w:szCs w:val="20"/>
          <w:lang w:val="en-GB"/>
        </w:rPr>
      </w:pPr>
    </w:p>
    <w:p w14:paraId="2CE012EA" w14:textId="77777777" w:rsidR="00455FBE" w:rsidRPr="00142E2F" w:rsidRDefault="00455FBE" w:rsidP="00455FBE">
      <w:pPr>
        <w:pStyle w:val="wText"/>
        <w:spacing w:after="0" w:line="300" w:lineRule="exact"/>
        <w:rPr>
          <w:rFonts w:asciiTheme="majorHAnsi" w:hAnsiTheme="majorHAnsi" w:cs="Arial"/>
          <w:lang w:val="en-GB"/>
        </w:rPr>
      </w:pPr>
      <w:r w:rsidRPr="00142E2F">
        <w:rPr>
          <w:rFonts w:asciiTheme="majorHAnsi" w:hAnsiTheme="majorHAnsi" w:cs="Arial"/>
          <w:sz w:val="20"/>
          <w:szCs w:val="20"/>
          <w:lang w:val="en-GB"/>
        </w:rPr>
        <w:t>This information offers no added value for retail investors, so the requirement, fulfilment of which gives rise to not inconsiderable expenditure, should be deleted.</w:t>
      </w:r>
      <w:r w:rsidRPr="00142E2F">
        <w:rPr>
          <w:rFonts w:asciiTheme="majorHAnsi" w:hAnsiTheme="majorHAnsi" w:cs="Arial"/>
          <w:lang w:val="en-GB"/>
        </w:rPr>
        <w:t xml:space="preserve"> </w:t>
      </w:r>
    </w:p>
    <w:p w14:paraId="2B42669D" w14:textId="77777777" w:rsidR="00455FBE" w:rsidRPr="00142E2F" w:rsidRDefault="00455FBE" w:rsidP="00455FBE">
      <w:pPr>
        <w:pStyle w:val="wText"/>
        <w:spacing w:after="0" w:line="300" w:lineRule="exact"/>
        <w:rPr>
          <w:rFonts w:asciiTheme="majorHAnsi" w:hAnsiTheme="majorHAnsi" w:cs="Arial"/>
          <w:lang w:val="en-GB"/>
        </w:rPr>
      </w:pPr>
    </w:p>
    <w:p w14:paraId="2D675314" w14:textId="77777777" w:rsidR="00455FBE" w:rsidRPr="00142E2F" w:rsidRDefault="00455FBE" w:rsidP="00042832">
      <w:pPr>
        <w:pStyle w:val="Flietext"/>
        <w:numPr>
          <w:ilvl w:val="0"/>
          <w:numId w:val="44"/>
        </w:numPr>
        <w:ind w:left="426" w:hanging="426"/>
        <w:rPr>
          <w:rFonts w:asciiTheme="majorHAnsi" w:hAnsiTheme="majorHAnsi"/>
          <w:b/>
          <w:lang w:val="en-GB"/>
        </w:rPr>
      </w:pPr>
      <w:r w:rsidRPr="00142E2F">
        <w:rPr>
          <w:rFonts w:asciiTheme="majorHAnsi" w:hAnsiTheme="majorHAnsi"/>
          <w:b/>
          <w:lang w:val="en-GB"/>
        </w:rPr>
        <w:t>Competent authority (Article 8(3)(a) of the PRIIPs Regulation)</w:t>
      </w:r>
    </w:p>
    <w:p w14:paraId="6FEAE906" w14:textId="77777777" w:rsidR="00455FBE" w:rsidRPr="00142E2F" w:rsidRDefault="00455FBE" w:rsidP="00455FBE">
      <w:pPr>
        <w:pStyle w:val="Flietext"/>
        <w:rPr>
          <w:rFonts w:asciiTheme="majorHAnsi" w:hAnsiTheme="majorHAnsi"/>
          <w:b/>
          <w:lang w:val="en-GB"/>
        </w:rPr>
      </w:pPr>
    </w:p>
    <w:p w14:paraId="21FA8551" w14:textId="77777777" w:rsidR="00455FBE" w:rsidRPr="00142E2F" w:rsidRDefault="00455FBE" w:rsidP="00455FBE">
      <w:pPr>
        <w:pStyle w:val="wText"/>
        <w:spacing w:after="0" w:line="300" w:lineRule="exact"/>
        <w:rPr>
          <w:rFonts w:asciiTheme="majorHAnsi" w:hAnsiTheme="majorHAnsi" w:cs="Arial"/>
          <w:sz w:val="20"/>
          <w:szCs w:val="20"/>
          <w:lang w:val="en-GB"/>
        </w:rPr>
      </w:pPr>
      <w:r w:rsidRPr="00142E2F">
        <w:rPr>
          <w:rFonts w:asciiTheme="majorHAnsi" w:hAnsiTheme="majorHAnsi" w:cs="Arial"/>
          <w:sz w:val="20"/>
          <w:szCs w:val="20"/>
          <w:lang w:val="en-GB"/>
        </w:rPr>
        <w:t>While Article 8(3)(a) of the PRIIPs Regulation requires that, at the beginning of the PRIIPs, information about the competent authority of the PRIIP manufacturer is disclosed, the PRIIPs Regulation does not contain a definition of the competent authority. As a general rule, the competent authority should be the competent authority of the Member State where the PRIIP manufacturer is established (irrespective of whether that PRIIP manufacturer carries out activities across borders). This view has been confirmed by the European Commission in recital 22 in the Guidelines on the application of the PRIIPs Regulation.</w:t>
      </w:r>
    </w:p>
    <w:p w14:paraId="22D92AE7" w14:textId="77777777" w:rsidR="00455FBE" w:rsidRPr="00142E2F" w:rsidRDefault="00455FBE" w:rsidP="00455FBE">
      <w:pPr>
        <w:pStyle w:val="wText"/>
        <w:spacing w:after="0" w:line="300" w:lineRule="exact"/>
        <w:rPr>
          <w:rFonts w:asciiTheme="majorHAnsi" w:hAnsiTheme="majorHAnsi" w:cs="Arial"/>
          <w:sz w:val="20"/>
          <w:szCs w:val="20"/>
          <w:lang w:val="en-GB"/>
        </w:rPr>
      </w:pPr>
    </w:p>
    <w:p w14:paraId="004F956C" w14:textId="77777777" w:rsidR="00455FBE" w:rsidRPr="00142E2F" w:rsidRDefault="00455FBE" w:rsidP="00455FBE">
      <w:pPr>
        <w:pStyle w:val="wText"/>
        <w:spacing w:after="0" w:line="300" w:lineRule="exact"/>
        <w:rPr>
          <w:rFonts w:asciiTheme="majorHAnsi" w:hAnsiTheme="majorHAnsi" w:cs="Arial"/>
          <w:sz w:val="20"/>
          <w:szCs w:val="20"/>
          <w:lang w:val="en-GB"/>
        </w:rPr>
      </w:pPr>
      <w:r w:rsidRPr="00142E2F">
        <w:rPr>
          <w:rFonts w:asciiTheme="majorHAnsi" w:hAnsiTheme="majorHAnsi" w:cs="Arial"/>
          <w:sz w:val="20"/>
          <w:szCs w:val="20"/>
          <w:lang w:val="en-GB"/>
        </w:rPr>
        <w:t>Since some supervisory authorities in host Member States have challenged PRIIPs KIDs, which were prepared by manufacturers established in other Member States and asked the manufacturers to amend the PRIIPs KIDs, it should be clarified that supervisory authorities in host Member States may not require changes to PRIIPs KIDs whose manufacturer is established in another Member State.</w:t>
      </w:r>
    </w:p>
    <w:p w14:paraId="0823F7E0" w14:textId="77777777" w:rsidR="00455FBE" w:rsidRPr="00142E2F" w:rsidRDefault="00455FBE" w:rsidP="00455FBE">
      <w:pPr>
        <w:pStyle w:val="Flietext"/>
        <w:rPr>
          <w:rFonts w:asciiTheme="majorHAnsi" w:hAnsiTheme="majorHAnsi"/>
          <w:u w:val="single"/>
          <w:lang w:val="en-GB"/>
        </w:rPr>
      </w:pPr>
    </w:p>
    <w:p w14:paraId="66E90339" w14:textId="77777777" w:rsidR="00455FBE" w:rsidRPr="00142E2F" w:rsidRDefault="00455FBE" w:rsidP="00455FBE">
      <w:pPr>
        <w:pStyle w:val="Flietext"/>
        <w:rPr>
          <w:rFonts w:asciiTheme="majorHAnsi" w:hAnsiTheme="majorHAnsi"/>
          <w:u w:val="single"/>
          <w:lang w:val="en-GB"/>
        </w:rPr>
      </w:pPr>
      <w:r w:rsidRPr="00142E2F">
        <w:rPr>
          <w:rFonts w:asciiTheme="majorHAnsi" w:hAnsiTheme="majorHAnsi"/>
          <w:u w:val="single"/>
          <w:lang w:val="en-GB"/>
        </w:rPr>
        <w:t>5.</w:t>
      </w:r>
      <w:r w:rsidRPr="00142E2F">
        <w:rPr>
          <w:rFonts w:asciiTheme="majorHAnsi" w:hAnsiTheme="majorHAnsi"/>
          <w:u w:val="single"/>
          <w:lang w:val="en-GB"/>
        </w:rPr>
        <w:tab/>
        <w:t>10,000 Euro or equivalent in another currency (Annex VI No. 90/91 of the PRIIPs Delegated Regulation)</w:t>
      </w:r>
    </w:p>
    <w:p w14:paraId="142D886D" w14:textId="5BB17F3F" w:rsidR="00455FBE" w:rsidRPr="0009059F" w:rsidRDefault="00455FBE" w:rsidP="00455FBE">
      <w:pPr>
        <w:pStyle w:val="Flietext"/>
        <w:rPr>
          <w:rFonts w:asciiTheme="majorHAnsi" w:hAnsiTheme="majorHAnsi"/>
          <w:lang w:val="en-GB"/>
        </w:rPr>
      </w:pPr>
      <w:r w:rsidRPr="0009059F">
        <w:rPr>
          <w:rFonts w:asciiTheme="majorHAnsi" w:hAnsiTheme="majorHAnsi"/>
          <w:lang w:val="en-GB"/>
        </w:rPr>
        <w:lastRenderedPageBreak/>
        <w:t>In the case of PRIIPs denominated in non-euro currencies, an "amount of similar magnitude" to EUR 10,000 and which is clea</w:t>
      </w:r>
      <w:r w:rsidR="00427443">
        <w:rPr>
          <w:rFonts w:asciiTheme="majorHAnsi" w:hAnsiTheme="majorHAnsi"/>
          <w:lang w:val="en-GB"/>
        </w:rPr>
        <w:t>r</w:t>
      </w:r>
      <w:r w:rsidRPr="0009059F">
        <w:rPr>
          <w:rFonts w:asciiTheme="majorHAnsi" w:hAnsiTheme="majorHAnsi"/>
          <w:lang w:val="en-GB"/>
        </w:rPr>
        <w:t>ly divisible by 1,000 is to be used for the calculation of performance scenarios and cost presentation. It remains, however, in our view unclear whether EUR 10,000 must be converted into the foreign currency at the respective exchange rate for foreign currency products.</w:t>
      </w:r>
    </w:p>
    <w:p w14:paraId="2BFF1675" w14:textId="3BDBE1DC" w:rsidR="00042832" w:rsidRPr="0009059F" w:rsidRDefault="00455FBE" w:rsidP="003E573C">
      <w:pPr>
        <w:rPr>
          <w:rFonts w:asciiTheme="majorHAnsi" w:hAnsiTheme="majorHAnsi"/>
        </w:rPr>
      </w:pPr>
      <w:r w:rsidRPr="0009059F">
        <w:rPr>
          <w:rFonts w:asciiTheme="majorHAnsi" w:hAnsiTheme="majorHAnsi"/>
        </w:rPr>
        <w:t>Our proposes that the reference amounts should be fixed in the individual currencies so that PRIIPs denominated in the same currency can be compared as far as possible. These fixed reference amounts could be included directly in the revised PRIIPs Delegated Regulation, for example in a table. This table could then be updated, where necessary, and be published on the websites of the ESAs.</w:t>
      </w:r>
    </w:p>
    <w:permEnd w:id="209390932"/>
    <w:p w14:paraId="61BD6C84" w14:textId="681C97F9"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C9CEA2F" w14:textId="77777777" w:rsidR="00455FBE" w:rsidRPr="00142E2F" w:rsidRDefault="00455FBE" w:rsidP="00455FBE">
      <w:pPr>
        <w:pStyle w:val="Flietext"/>
        <w:rPr>
          <w:rFonts w:asciiTheme="majorHAnsi" w:hAnsiTheme="majorHAnsi"/>
          <w:lang w:val="en-GB"/>
        </w:rPr>
      </w:pPr>
      <w:permStart w:id="418122716" w:edGrp="everyone"/>
      <w:r w:rsidRPr="00142E2F">
        <w:rPr>
          <w:rFonts w:asciiTheme="majorHAnsi" w:hAnsiTheme="majorHAnsi"/>
          <w:lang w:val="en-GB"/>
        </w:rPr>
        <w:t xml:space="preserve">In our view, the legislator, with respect to presentation of the performance, should make a shift from the probabilistic scenarios to an illustrative what-if approach. Since there are no criteria with which the future market trend can be predicted, this should also not be suggested to the customer, who should merely be shown certain scenarios with the indication that their occurrence is just as certain or uncertain as all other possibilities and the scenarios are only designed to show how the product works. This applies in particular against the background of the indication by the ESAs on p. 25 of the CP that every probabilistic method has weaknesses which may lead to problems for certain products (in particular in the case of OTC derivatives). </w:t>
      </w:r>
    </w:p>
    <w:p w14:paraId="3AD0E3D8" w14:textId="77777777" w:rsidR="00455FBE" w:rsidRPr="00142E2F" w:rsidRDefault="00455FBE" w:rsidP="00455FBE">
      <w:pPr>
        <w:pStyle w:val="Flietext"/>
        <w:rPr>
          <w:rFonts w:asciiTheme="majorHAnsi" w:hAnsiTheme="majorHAnsi"/>
          <w:lang w:val="en-GB"/>
        </w:rPr>
      </w:pPr>
    </w:p>
    <w:p w14:paraId="57A7D24E" w14:textId="7ADB25D0" w:rsidR="00042832" w:rsidRPr="00B0360E" w:rsidRDefault="00455FBE" w:rsidP="00042832">
      <w:pPr>
        <w:pStyle w:val="Flietext"/>
        <w:rPr>
          <w:rFonts w:asciiTheme="majorHAnsi" w:hAnsiTheme="majorHAnsi"/>
          <w:lang w:val="en-US"/>
        </w:rPr>
      </w:pPr>
      <w:r w:rsidRPr="00142E2F">
        <w:rPr>
          <w:rFonts w:asciiTheme="majorHAnsi" w:hAnsiTheme="majorHAnsi"/>
          <w:lang w:val="en-GB"/>
        </w:rPr>
        <w:t>In addition, it must be borne in mind that every approach that leads to an extension of the presentation makes compliance with the 3-page requirement difficult or impossible. This restriction to 3 pages should therefore be abandoned.</w:t>
      </w:r>
      <w:r w:rsidR="00042832" w:rsidRPr="00B0360E">
        <w:rPr>
          <w:rFonts w:asciiTheme="majorHAnsi" w:hAnsiTheme="majorHAnsi"/>
          <w:lang w:val="en-US"/>
        </w:rPr>
        <w:t xml:space="preserve"> </w:t>
      </w:r>
    </w:p>
    <w:permEnd w:id="418122716"/>
    <w:p w14:paraId="29E77975" w14:textId="004AFBBB"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5EB0E039" w14:textId="77777777" w:rsidR="00455FBE" w:rsidRPr="00142E2F" w:rsidRDefault="00455FBE" w:rsidP="008A74F3">
      <w:pPr>
        <w:pStyle w:val="Flietext"/>
        <w:rPr>
          <w:rFonts w:asciiTheme="majorHAnsi" w:hAnsiTheme="majorHAnsi"/>
          <w:lang w:val="en-GB"/>
        </w:rPr>
      </w:pPr>
      <w:permStart w:id="569465455" w:edGrp="everyone"/>
      <w:r w:rsidRPr="00142E2F">
        <w:rPr>
          <w:rFonts w:asciiTheme="majorHAnsi" w:hAnsiTheme="majorHAnsi"/>
          <w:lang w:val="en-GB"/>
        </w:rPr>
        <w:t>The intermediate scenarios lead in many cases to barely comprehensible results. In addition, the problem remains of information overload, which is also addressed at various points by the ESAs. For this reason, the intermediate scenarios should be abandoned.</w:t>
      </w:r>
    </w:p>
    <w:p w14:paraId="4296E284" w14:textId="77777777" w:rsidR="00455FBE" w:rsidRPr="00142E2F" w:rsidRDefault="00455FBE" w:rsidP="008A74F3">
      <w:pPr>
        <w:pStyle w:val="Flietext"/>
        <w:rPr>
          <w:rFonts w:asciiTheme="majorHAnsi" w:hAnsiTheme="majorHAnsi"/>
          <w:lang w:val="en-GB"/>
        </w:rPr>
      </w:pPr>
    </w:p>
    <w:p w14:paraId="317CCCCD" w14:textId="77777777" w:rsidR="00455FBE" w:rsidRPr="00142E2F" w:rsidRDefault="00455FBE" w:rsidP="008A74F3">
      <w:pPr>
        <w:pStyle w:val="Flietext"/>
        <w:rPr>
          <w:rFonts w:asciiTheme="majorHAnsi" w:hAnsiTheme="majorHAnsi"/>
          <w:lang w:val="en-GB"/>
        </w:rPr>
      </w:pPr>
      <w:r w:rsidRPr="00142E2F">
        <w:rPr>
          <w:rFonts w:asciiTheme="majorHAnsi" w:hAnsiTheme="majorHAnsi"/>
          <w:lang w:val="en-GB"/>
        </w:rPr>
        <w:t xml:space="preserve">If the cost statement is to remain part of the KID (also see under Q 36), the costs should be calculated on the basis of a performance of zero. This would contribute to synchronisation between the statement of product costs according to MiFID II and PRIIPs and in this way help to put an end to the circumstance, barely comprehensible to customers, that different product costs are shown for the same product under the same conditions (investment amount of EUR 10,000). It is not possible, on the basis of the intermediate scenario, for distributors to calculate the MiFID II costs (i.e. service costs in addition to product costs), which are known only to the issuer. </w:t>
      </w:r>
    </w:p>
    <w:p w14:paraId="1BC9AF10" w14:textId="77777777" w:rsidR="00455FBE" w:rsidRPr="00142E2F" w:rsidRDefault="00455FBE" w:rsidP="008A74F3">
      <w:pPr>
        <w:pStyle w:val="Flietext"/>
        <w:rPr>
          <w:rFonts w:asciiTheme="majorHAnsi" w:hAnsiTheme="majorHAnsi"/>
          <w:lang w:val="en-GB"/>
        </w:rPr>
      </w:pPr>
    </w:p>
    <w:p w14:paraId="212045F4" w14:textId="77777777" w:rsidR="00042832" w:rsidRDefault="00455FBE" w:rsidP="003E573C">
      <w:pPr>
        <w:rPr>
          <w:rFonts w:asciiTheme="majorHAnsi" w:hAnsiTheme="majorHAnsi"/>
        </w:rPr>
      </w:pPr>
      <w:r w:rsidRPr="00142E2F">
        <w:rPr>
          <w:rFonts w:asciiTheme="majorHAnsi" w:hAnsiTheme="majorHAnsi"/>
        </w:rPr>
        <w:t>In addition, we suggest a uniform interpretation of the product costs according to MiFID II and PRIIPs.</w:t>
      </w:r>
    </w:p>
    <w:permEnd w:id="569465455"/>
    <w:p w14:paraId="2267AC0F" w14:textId="5731809F"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35BC5D29" w14:textId="77777777" w:rsidR="00455FBE" w:rsidRPr="00142E2F" w:rsidRDefault="00455FBE" w:rsidP="00455FBE">
      <w:pPr>
        <w:pStyle w:val="Flietext"/>
        <w:rPr>
          <w:rFonts w:asciiTheme="majorHAnsi" w:hAnsiTheme="majorHAnsi"/>
          <w:lang w:val="en-GB"/>
        </w:rPr>
      </w:pPr>
      <w:permStart w:id="1713528049" w:edGrp="everyone"/>
      <w:r w:rsidRPr="00142E2F">
        <w:rPr>
          <w:rFonts w:asciiTheme="majorHAnsi" w:hAnsiTheme="majorHAnsi"/>
          <w:lang w:val="en-GB"/>
        </w:rPr>
        <w:t xml:space="preserve">In our opinion, presentation of a stress scenario offers no added value and should therefore be abandoned. This also contributes to resolving the much deplored information overload. </w:t>
      </w:r>
    </w:p>
    <w:p w14:paraId="164EB874" w14:textId="77777777" w:rsidR="00455FBE" w:rsidRPr="00142E2F" w:rsidRDefault="00455FBE" w:rsidP="00455FBE">
      <w:pPr>
        <w:pStyle w:val="Flietext"/>
        <w:rPr>
          <w:rFonts w:asciiTheme="majorHAnsi" w:hAnsiTheme="majorHAnsi"/>
          <w:lang w:val="en-GB"/>
        </w:rPr>
      </w:pPr>
    </w:p>
    <w:p w14:paraId="6506FA5A"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If the stress scenarios are nevertheless to be retained, they should at least be based on a uniform calculation method, i.e. the same drift should be applied in all scenarios.</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E27C2F5" w14:textId="77777777" w:rsidR="00455FBE" w:rsidRPr="00142E2F" w:rsidRDefault="00455FBE" w:rsidP="00455FBE">
      <w:pPr>
        <w:pStyle w:val="Flietext"/>
        <w:rPr>
          <w:rFonts w:asciiTheme="majorHAnsi" w:hAnsiTheme="majorHAnsi"/>
          <w:lang w:val="en-GB"/>
        </w:rPr>
      </w:pPr>
      <w:permStart w:id="221670941" w:edGrp="everyone"/>
      <w:r w:rsidRPr="00142E2F">
        <w:rPr>
          <w:rFonts w:asciiTheme="majorHAnsi" w:hAnsiTheme="majorHAnsi"/>
          <w:lang w:val="en-GB"/>
        </w:rPr>
        <w:t>No. Optimisation of the approach does not solve the fundamental problem of the lack of comprehensibility.</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497A2BF7" w14:textId="77777777" w:rsidR="00042832" w:rsidRPr="00B0360E" w:rsidRDefault="00455FBE" w:rsidP="00042832">
      <w:pPr>
        <w:pStyle w:val="Flietext"/>
        <w:rPr>
          <w:rFonts w:asciiTheme="majorHAnsi" w:hAnsiTheme="majorHAnsi"/>
          <w:lang w:val="en-US"/>
        </w:rPr>
      </w:pPr>
      <w:permStart w:id="790175202" w:edGrp="everyone"/>
      <w:r w:rsidRPr="00B0360E">
        <w:rPr>
          <w:rFonts w:asciiTheme="majorHAnsi" w:hAnsiTheme="majorHAnsi"/>
          <w:lang w:val="en-US"/>
        </w:rPr>
        <w:t>The use of any “</w:t>
      </w:r>
      <w:r w:rsidRPr="00042832">
        <w:rPr>
          <w:rFonts w:asciiTheme="majorHAnsi" w:hAnsiTheme="majorHAnsi"/>
          <w:lang w:val="en-GB"/>
        </w:rPr>
        <w:t>expected</w:t>
      </w:r>
      <w:r w:rsidRPr="00B0360E">
        <w:rPr>
          <w:rFonts w:asciiTheme="majorHAnsi" w:hAnsiTheme="majorHAnsi"/>
          <w:lang w:val="en-US"/>
        </w:rPr>
        <w:t xml:space="preserve"> dividend rates” should not be permitted. In so far as dividends are relevant for the calculation, “historical dividends” should be used</w:t>
      </w:r>
      <w:r w:rsidR="00042832" w:rsidRPr="00B0360E">
        <w:rPr>
          <w:rFonts w:asciiTheme="majorHAnsi" w:hAnsiTheme="majorHAnsi"/>
          <w:lang w:val="en-US"/>
        </w:rPr>
        <w:t xml:space="preserve">. </w:t>
      </w:r>
      <w:r w:rsidRPr="00B0360E">
        <w:rPr>
          <w:rFonts w:asciiTheme="majorHAnsi" w:hAnsiTheme="majorHAnsi"/>
          <w:lang w:val="en-US"/>
        </w:rPr>
        <w:t>.</w:t>
      </w:r>
    </w:p>
    <w:permEnd w:id="790175202"/>
    <w:p w14:paraId="140C09C0" w14:textId="6AA7FBF7"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lastRenderedPageBreak/>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1D7FB6FA" w14:textId="77777777" w:rsidR="00455FBE" w:rsidRPr="00142E2F" w:rsidRDefault="00455FBE" w:rsidP="008A74F3">
      <w:pPr>
        <w:pStyle w:val="Flietext"/>
        <w:rPr>
          <w:rFonts w:asciiTheme="majorHAnsi" w:hAnsiTheme="majorHAnsi"/>
          <w:lang w:val="en-GB"/>
        </w:rPr>
      </w:pPr>
      <w:permStart w:id="1271138379" w:edGrp="everyone"/>
      <w:r w:rsidRPr="00142E2F">
        <w:rPr>
          <w:rFonts w:asciiTheme="majorHAnsi" w:hAnsiTheme="majorHAnsi"/>
          <w:lang w:val="en-GB"/>
        </w:rPr>
        <w:t>The ESAs rightly recognise that, in spite of corrections, the proposed probabilistic approaches probably do not yield plausible results for all products. Instead of abandoning an approach which has been recognised as inappropriate, corrections to the results are proposed. This must be rejected for several reasons:</w:t>
      </w:r>
    </w:p>
    <w:p w14:paraId="479B69CA" w14:textId="77777777" w:rsidR="00455FBE" w:rsidRPr="00142E2F" w:rsidRDefault="00455FBE" w:rsidP="008A74F3">
      <w:pPr>
        <w:pStyle w:val="Flietext"/>
        <w:ind w:left="360"/>
        <w:rPr>
          <w:rFonts w:asciiTheme="majorHAnsi" w:hAnsiTheme="majorHAnsi"/>
          <w:lang w:val="en-GB"/>
        </w:rPr>
      </w:pPr>
    </w:p>
    <w:p w14:paraId="30364379" w14:textId="361384F0" w:rsidR="00455FBE" w:rsidRPr="00142E2F" w:rsidRDefault="00455FBE" w:rsidP="00B63AB5">
      <w:pPr>
        <w:pStyle w:val="Flietext"/>
        <w:numPr>
          <w:ilvl w:val="0"/>
          <w:numId w:val="42"/>
        </w:numPr>
        <w:rPr>
          <w:rFonts w:asciiTheme="majorHAnsi" w:hAnsiTheme="majorHAnsi"/>
          <w:lang w:val="en-US"/>
        </w:rPr>
      </w:pPr>
      <w:r w:rsidRPr="00142E2F">
        <w:rPr>
          <w:rFonts w:asciiTheme="majorHAnsi" w:hAnsiTheme="majorHAnsi"/>
          <w:lang w:val="en-US"/>
        </w:rPr>
        <w:t>The introduction of compensatory mechanisms for unseen methodogical faults would shift the responsibility for the contents of the KIDs and the methodology from the legislator to the manufacturers. Man</w:t>
      </w:r>
      <w:r w:rsidR="0009059F">
        <w:rPr>
          <w:rFonts w:asciiTheme="majorHAnsi" w:hAnsiTheme="majorHAnsi"/>
          <w:lang w:val="en-US"/>
        </w:rPr>
        <w:t>u</w:t>
      </w:r>
      <w:r w:rsidRPr="00142E2F">
        <w:rPr>
          <w:rFonts w:asciiTheme="majorHAnsi" w:hAnsiTheme="majorHAnsi"/>
          <w:lang w:val="en-US"/>
        </w:rPr>
        <w:t>fa</w:t>
      </w:r>
      <w:r w:rsidR="0009059F">
        <w:rPr>
          <w:rFonts w:asciiTheme="majorHAnsi" w:hAnsiTheme="majorHAnsi"/>
          <w:lang w:val="en-US"/>
        </w:rPr>
        <w:t>c</w:t>
      </w:r>
      <w:r w:rsidRPr="00142E2F">
        <w:rPr>
          <w:rFonts w:asciiTheme="majorHAnsi" w:hAnsiTheme="majorHAnsi"/>
          <w:lang w:val="en-US"/>
        </w:rPr>
        <w:t xml:space="preserve">turers would have to define which result that has been calculated according to the legal requirements can still be accepted and which result needs to be modified. </w:t>
      </w:r>
    </w:p>
    <w:p w14:paraId="2CC751AC" w14:textId="77777777" w:rsidR="00455FBE" w:rsidRPr="00142E2F" w:rsidRDefault="00455FBE" w:rsidP="008A74F3">
      <w:pPr>
        <w:pStyle w:val="Flietext"/>
        <w:ind w:left="1080"/>
        <w:rPr>
          <w:rFonts w:asciiTheme="majorHAnsi" w:hAnsiTheme="majorHAnsi"/>
          <w:lang w:val="en-US"/>
        </w:rPr>
      </w:pPr>
    </w:p>
    <w:p w14:paraId="75950FB8" w14:textId="6B72355A" w:rsidR="00455FBE" w:rsidRPr="00142E2F" w:rsidRDefault="00455FBE" w:rsidP="00B63AB5">
      <w:pPr>
        <w:pStyle w:val="Flietext"/>
        <w:numPr>
          <w:ilvl w:val="0"/>
          <w:numId w:val="42"/>
        </w:numPr>
        <w:rPr>
          <w:rFonts w:asciiTheme="majorHAnsi" w:hAnsiTheme="majorHAnsi"/>
          <w:lang w:val="en-GB"/>
        </w:rPr>
      </w:pPr>
      <w:r w:rsidRPr="00142E2F">
        <w:rPr>
          <w:rFonts w:asciiTheme="majorHAnsi" w:hAnsiTheme="majorHAnsi"/>
          <w:lang w:val="en-US"/>
        </w:rPr>
        <w:t xml:space="preserve">Compensatory mechanisms would reduce comparability. Without clear requirements every manufacturer would define individual standards when the results need to be modified. This would mean that the approach of a highly </w:t>
      </w:r>
      <w:r w:rsidR="0009059F" w:rsidRPr="00142E2F">
        <w:rPr>
          <w:rFonts w:asciiTheme="majorHAnsi" w:hAnsiTheme="majorHAnsi"/>
          <w:lang w:val="en-US"/>
        </w:rPr>
        <w:t>standardized</w:t>
      </w:r>
      <w:r w:rsidRPr="00142E2F">
        <w:rPr>
          <w:rFonts w:asciiTheme="majorHAnsi" w:hAnsiTheme="majorHAnsi"/>
          <w:lang w:val="en-US"/>
        </w:rPr>
        <w:t xml:space="preserve"> KID would be given up.</w:t>
      </w:r>
      <w:r w:rsidRPr="00142E2F">
        <w:rPr>
          <w:rFonts w:asciiTheme="majorHAnsi" w:hAnsiTheme="majorHAnsi"/>
          <w:lang w:val="en-GB"/>
        </w:rPr>
        <w:t xml:space="preserve"> As the ESAs rightly recognise, corrections result in impossibility to achieve the objective of comparability.  </w:t>
      </w:r>
    </w:p>
    <w:p w14:paraId="7288F6AF" w14:textId="77777777" w:rsidR="00455FBE" w:rsidRPr="00142E2F" w:rsidRDefault="00455FBE" w:rsidP="008A74F3">
      <w:pPr>
        <w:pStyle w:val="Flietext"/>
        <w:ind w:left="1080"/>
        <w:rPr>
          <w:rFonts w:asciiTheme="majorHAnsi" w:hAnsiTheme="majorHAnsi"/>
          <w:lang w:val="en-GB"/>
        </w:rPr>
      </w:pPr>
    </w:p>
    <w:p w14:paraId="0B6C86B2" w14:textId="77777777" w:rsidR="00455FBE" w:rsidRPr="00142E2F" w:rsidRDefault="00455FBE" w:rsidP="00B63AB5">
      <w:pPr>
        <w:pStyle w:val="Flietext"/>
        <w:numPr>
          <w:ilvl w:val="0"/>
          <w:numId w:val="42"/>
        </w:numPr>
        <w:rPr>
          <w:rFonts w:asciiTheme="majorHAnsi" w:hAnsiTheme="majorHAnsi"/>
          <w:lang w:val="en-GB"/>
        </w:rPr>
      </w:pPr>
      <w:r w:rsidRPr="00142E2F">
        <w:rPr>
          <w:rFonts w:asciiTheme="majorHAnsi" w:hAnsiTheme="majorHAnsi"/>
          <w:lang w:val="en-GB"/>
        </w:rPr>
        <w:t>The corrections only mitigate or conceal the problems of the probabilistic approach. However, the problems are not solved.</w:t>
      </w:r>
    </w:p>
    <w:p w14:paraId="5D781C86" w14:textId="77777777" w:rsidR="00455FBE" w:rsidRPr="00142E2F" w:rsidRDefault="00455FBE" w:rsidP="008A74F3">
      <w:pPr>
        <w:pStyle w:val="Flietext"/>
        <w:ind w:left="720"/>
        <w:rPr>
          <w:rFonts w:asciiTheme="majorHAnsi" w:hAnsiTheme="majorHAnsi"/>
          <w:lang w:val="en-GB"/>
        </w:rPr>
      </w:pPr>
    </w:p>
    <w:p w14:paraId="63EB33EB" w14:textId="77777777" w:rsidR="00455FBE" w:rsidRPr="00142E2F" w:rsidRDefault="00455FBE" w:rsidP="00B63AB5">
      <w:pPr>
        <w:pStyle w:val="Flietext"/>
        <w:numPr>
          <w:ilvl w:val="0"/>
          <w:numId w:val="42"/>
        </w:numPr>
        <w:rPr>
          <w:rFonts w:asciiTheme="majorHAnsi" w:hAnsiTheme="majorHAnsi"/>
          <w:lang w:val="en-GB"/>
        </w:rPr>
      </w:pPr>
      <w:r w:rsidRPr="00142E2F">
        <w:rPr>
          <w:rFonts w:asciiTheme="majorHAnsi" w:hAnsiTheme="majorHAnsi"/>
          <w:lang w:val="en-GB"/>
        </w:rPr>
        <w:t xml:space="preserve">The corrections eliminate high or low outliers. As a result, however, the figures may seem more realistic for the investor. This can lead to investors deriving payouts from the figures. </w:t>
      </w:r>
    </w:p>
    <w:p w14:paraId="5133A625" w14:textId="77777777" w:rsidR="00455FBE" w:rsidRPr="00142E2F" w:rsidRDefault="00455FBE" w:rsidP="008A74F3">
      <w:pPr>
        <w:pStyle w:val="Listenabsatz"/>
        <w:rPr>
          <w:rFonts w:asciiTheme="majorHAnsi" w:hAnsiTheme="majorHAnsi"/>
        </w:rPr>
      </w:pPr>
    </w:p>
    <w:p w14:paraId="4579C93C" w14:textId="77777777" w:rsidR="00455FBE" w:rsidRPr="00142E2F" w:rsidRDefault="00455FBE" w:rsidP="00B63AB5">
      <w:pPr>
        <w:pStyle w:val="Flietext"/>
        <w:numPr>
          <w:ilvl w:val="0"/>
          <w:numId w:val="42"/>
        </w:numPr>
        <w:rPr>
          <w:rFonts w:asciiTheme="majorHAnsi" w:hAnsiTheme="majorHAnsi"/>
          <w:lang w:val="en-GB"/>
        </w:rPr>
      </w:pPr>
      <w:r w:rsidRPr="00142E2F">
        <w:rPr>
          <w:rFonts w:asciiTheme="majorHAnsi" w:hAnsiTheme="majorHAnsi"/>
          <w:lang w:val="en-GB"/>
        </w:rPr>
        <w:t xml:space="preserve">The probabilistic approach would be reduced to absurdity if first probabilistic values were calculated on the basis of a complex procedure, but then the calculated values are not shown, but first modified. </w:t>
      </w:r>
    </w:p>
    <w:p w14:paraId="6C29DCEF" w14:textId="77777777" w:rsidR="00455FBE" w:rsidRPr="00142E2F" w:rsidRDefault="00455FBE" w:rsidP="008A74F3">
      <w:pPr>
        <w:pStyle w:val="Listenabsatz"/>
        <w:rPr>
          <w:rFonts w:asciiTheme="majorHAnsi" w:hAnsiTheme="majorHAnsi"/>
        </w:rPr>
      </w:pPr>
    </w:p>
    <w:p w14:paraId="1D0DAA5F" w14:textId="576344F1" w:rsidR="00455FBE" w:rsidRPr="00142E2F" w:rsidRDefault="00455FBE" w:rsidP="00B63AB5">
      <w:pPr>
        <w:pStyle w:val="Flietext"/>
        <w:numPr>
          <w:ilvl w:val="0"/>
          <w:numId w:val="42"/>
        </w:numPr>
        <w:rPr>
          <w:rFonts w:asciiTheme="majorHAnsi" w:hAnsiTheme="majorHAnsi"/>
          <w:lang w:val="en-GB"/>
        </w:rPr>
      </w:pPr>
      <w:r w:rsidRPr="00142E2F">
        <w:rPr>
          <w:rFonts w:asciiTheme="majorHAnsi" w:hAnsiTheme="majorHAnsi"/>
          <w:lang w:val="en-GB"/>
        </w:rPr>
        <w:t xml:space="preserve">For the manufacturer, it would represent an enormous amount of effort first to calculate the probabilistic values – external </w:t>
      </w:r>
      <w:r w:rsidR="00427443">
        <w:rPr>
          <w:rFonts w:asciiTheme="majorHAnsi" w:hAnsiTheme="majorHAnsi"/>
          <w:lang w:val="en-GB"/>
        </w:rPr>
        <w:t>advice</w:t>
      </w:r>
      <w:r w:rsidRPr="00142E2F">
        <w:rPr>
          <w:rFonts w:asciiTheme="majorHAnsi" w:hAnsiTheme="majorHAnsi"/>
          <w:lang w:val="en-GB"/>
        </w:rPr>
        <w:t xml:space="preserve"> </w:t>
      </w:r>
      <w:r w:rsidR="00427443">
        <w:rPr>
          <w:rFonts w:asciiTheme="majorHAnsi" w:hAnsiTheme="majorHAnsi"/>
          <w:lang w:val="en-GB"/>
        </w:rPr>
        <w:t>is</w:t>
      </w:r>
      <w:r w:rsidRPr="00142E2F">
        <w:rPr>
          <w:rFonts w:asciiTheme="majorHAnsi" w:hAnsiTheme="majorHAnsi"/>
          <w:lang w:val="en-GB"/>
        </w:rPr>
        <w:t xml:space="preserve"> usually called in here – and then to correct the very expensively calculated values. </w:t>
      </w:r>
    </w:p>
    <w:p w14:paraId="304DC791" w14:textId="77777777" w:rsidR="00455FBE" w:rsidRPr="00142E2F" w:rsidRDefault="00455FBE" w:rsidP="008A74F3">
      <w:pPr>
        <w:pStyle w:val="Listenabsatz"/>
        <w:rPr>
          <w:rFonts w:asciiTheme="majorHAnsi" w:hAnsiTheme="majorHAnsi"/>
        </w:rPr>
      </w:pPr>
    </w:p>
    <w:p w14:paraId="6FBC59B2" w14:textId="41A0E3BD" w:rsidR="00042832" w:rsidRDefault="00455FBE" w:rsidP="003E573C">
      <w:pPr>
        <w:rPr>
          <w:rFonts w:asciiTheme="majorHAnsi" w:hAnsiTheme="majorHAnsi"/>
        </w:rPr>
      </w:pPr>
      <w:r w:rsidRPr="00142E2F">
        <w:rPr>
          <w:rFonts w:asciiTheme="majorHAnsi" w:hAnsiTheme="majorHAnsi"/>
        </w:rPr>
        <w:t>If the ESAs come to the conclusion that there is no probabilistic method that is suitable for all products, they should abandon the approach and switch to an illustrative approach</w:t>
      </w:r>
      <w:r w:rsidR="00427443">
        <w:rPr>
          <w:rFonts w:asciiTheme="majorHAnsi" w:hAnsiTheme="majorHAnsi"/>
        </w:rPr>
        <w:t xml:space="preserve"> (What-if-Aproach)</w:t>
      </w:r>
      <w:r w:rsidRPr="00142E2F">
        <w:rPr>
          <w:rFonts w:asciiTheme="majorHAnsi" w:hAnsiTheme="majorHAnsi"/>
        </w:rPr>
        <w:t>.</w:t>
      </w:r>
    </w:p>
    <w:permEnd w:id="1271138379"/>
    <w:p w14:paraId="5A098E3E" w14:textId="0DCF960E"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lastRenderedPageBreak/>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3600D7DE" w14:textId="77777777" w:rsidR="00455FBE" w:rsidRPr="00142E2F" w:rsidRDefault="00455FBE" w:rsidP="00455FBE">
      <w:pPr>
        <w:pStyle w:val="Flietext"/>
        <w:rPr>
          <w:rFonts w:asciiTheme="majorHAnsi" w:hAnsiTheme="majorHAnsi"/>
          <w:lang w:val="en-GB"/>
        </w:rPr>
      </w:pPr>
      <w:permStart w:id="669663577" w:edGrp="everyone"/>
      <w:r w:rsidRPr="00142E2F">
        <w:rPr>
          <w:rFonts w:asciiTheme="majorHAnsi" w:hAnsiTheme="majorHAnsi"/>
          <w:lang w:val="en-GB"/>
        </w:rPr>
        <w:t>See above.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351D8FA7" w14:textId="77777777" w:rsidR="00455FBE" w:rsidRPr="00142E2F" w:rsidRDefault="00455FBE" w:rsidP="00455FBE">
      <w:pPr>
        <w:rPr>
          <w:rFonts w:asciiTheme="majorHAnsi" w:hAnsiTheme="majorHAnsi"/>
        </w:rPr>
      </w:pPr>
      <w:permStart w:id="2245015" w:edGrp="everyone"/>
      <w:r w:rsidRPr="00142E2F">
        <w:rPr>
          <w:rFonts w:asciiTheme="majorHAnsi" w:hAnsiTheme="majorHAnsi"/>
        </w:rPr>
        <w:t>See above.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58775681" w14:textId="77777777" w:rsidR="00455FBE" w:rsidRPr="00142E2F" w:rsidRDefault="00455FBE" w:rsidP="00455FBE">
      <w:pPr>
        <w:rPr>
          <w:rFonts w:asciiTheme="majorHAnsi" w:hAnsiTheme="majorHAnsi"/>
        </w:rPr>
      </w:pPr>
      <w:permStart w:id="1182486711" w:edGrp="everyone"/>
      <w:r w:rsidRPr="00142E2F">
        <w:rPr>
          <w:rFonts w:asciiTheme="majorHAnsi" w:hAnsiTheme="majorHAnsi"/>
        </w:rPr>
        <w:t>See above.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lastRenderedPageBreak/>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97BFEDC" w14:textId="77777777" w:rsidR="00455FBE" w:rsidRPr="00142E2F" w:rsidRDefault="00455FBE" w:rsidP="00455FBE">
      <w:pPr>
        <w:pStyle w:val="Flietext"/>
        <w:rPr>
          <w:rFonts w:asciiTheme="majorHAnsi" w:hAnsiTheme="majorHAnsi"/>
          <w:lang w:val="en-GB"/>
        </w:rPr>
      </w:pPr>
      <w:permStart w:id="1634935588" w:edGrp="everyone"/>
      <w:r w:rsidRPr="00142E2F">
        <w:rPr>
          <w:rFonts w:asciiTheme="majorHAnsi" w:hAnsiTheme="majorHAnsi"/>
          <w:lang w:val="en-GB"/>
        </w:rPr>
        <w:t>Since in particular investor protectors complain that too much information is provided in the KIDs, the existing scenarios should not be supplemented by further scenarios. In addition, it is doubtful whether investors understand the difference between probabilistic and illustrative methods. The legislator should therefore commit to one method. In the opinion of the public banks and savings banks, this method should be the illustrative what-if approach.</w:t>
      </w:r>
    </w:p>
    <w:p w14:paraId="04ED1F1C" w14:textId="77777777" w:rsidR="00455FBE" w:rsidRPr="00142E2F" w:rsidRDefault="00455FBE" w:rsidP="00455FBE">
      <w:pPr>
        <w:pStyle w:val="Flietext"/>
        <w:rPr>
          <w:rFonts w:asciiTheme="majorHAnsi" w:hAnsiTheme="majorHAnsi"/>
          <w:lang w:val="en-GB"/>
        </w:rPr>
      </w:pPr>
    </w:p>
    <w:p w14:paraId="513C29AF" w14:textId="40732A53" w:rsidR="003E573C" w:rsidRPr="00042832" w:rsidRDefault="00455FBE" w:rsidP="00042832">
      <w:pPr>
        <w:pStyle w:val="Flietext"/>
        <w:rPr>
          <w:rFonts w:asciiTheme="majorHAnsi" w:hAnsiTheme="majorHAnsi"/>
          <w:lang w:val="en-GB"/>
        </w:rPr>
      </w:pPr>
      <w:r w:rsidRPr="00142E2F">
        <w:rPr>
          <w:rFonts w:asciiTheme="majorHAnsi" w:hAnsiTheme="majorHAnsi"/>
          <w:lang w:val="en-GB"/>
        </w:rPr>
        <w:t>If the existing scenarios were to be supplemented, it is necessary in any case to abandon the 3-page requirement and to enable the manufacturers to make a 4-pages presentation.</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4BA6783" w14:textId="77777777" w:rsidR="00455FBE" w:rsidRPr="00142E2F" w:rsidRDefault="00455FBE" w:rsidP="00455FBE">
      <w:pPr>
        <w:pStyle w:val="Flietext"/>
        <w:rPr>
          <w:rFonts w:asciiTheme="majorHAnsi" w:hAnsiTheme="majorHAnsi"/>
          <w:lang w:val="en-GB"/>
        </w:rPr>
      </w:pPr>
      <w:permStart w:id="872961277" w:edGrp="everyone"/>
      <w:r w:rsidRPr="00142E2F">
        <w:rPr>
          <w:rFonts w:asciiTheme="majorHAnsi" w:hAnsiTheme="majorHAnsi"/>
          <w:lang w:val="en-GB"/>
        </w:rPr>
        <w:t xml:space="preserve">In our view, probabilistic scenarios suggest promises of payouts which do not exist in this form. The fact that the performance is calculated according to complex specifications, which usually lead to inaccurate values with several decimal places, gives customers the impression of a secured return. The problems of this approach were already recognised in the final report of the ESAs of 8 February 2019 (see 4.2.2/as statement in Annex under 6) and led to the use of a so-called comprehension alert, which in turn creates uncertainty for customers. </w:t>
      </w:r>
    </w:p>
    <w:p w14:paraId="1E21D31A" w14:textId="77777777" w:rsidR="00455FBE" w:rsidRPr="00142E2F" w:rsidRDefault="00455FBE" w:rsidP="00455FBE">
      <w:pPr>
        <w:pStyle w:val="Flietext"/>
        <w:rPr>
          <w:rFonts w:asciiTheme="majorHAnsi" w:hAnsiTheme="majorHAnsi"/>
          <w:lang w:val="en-GB"/>
        </w:rPr>
      </w:pPr>
    </w:p>
    <w:p w14:paraId="12AC3D00"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The probabilistic approach should therefore be abandoned and replaced by illustrative examples which show investors how the product works by way of example. The presentation should be explained by relevant indications. The effect of these indications is reinforced if round figures are used routinely as a basis (such as, for example 5%), which underscores the illustrative nature.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242114BD" w14:textId="77777777" w:rsidR="00455FBE" w:rsidRPr="00142E2F" w:rsidRDefault="00455FBE" w:rsidP="00455FBE">
      <w:pPr>
        <w:pStyle w:val="Flietext"/>
        <w:rPr>
          <w:rFonts w:asciiTheme="majorHAnsi" w:hAnsiTheme="majorHAnsi"/>
          <w:lang w:val="en-GB"/>
        </w:rPr>
      </w:pPr>
      <w:permStart w:id="374105505" w:edGrp="everyone"/>
      <w:r w:rsidRPr="00142E2F">
        <w:rPr>
          <w:rFonts w:asciiTheme="majorHAnsi" w:hAnsiTheme="majorHAnsi"/>
          <w:lang w:val="en-GB"/>
        </w:rPr>
        <w:t xml:space="preserve">Since illustrative presentations (What-If-Approach) have been used for all products apart from funds in the German market and – in contrast to the current methodology under PRIIPS – no problems have arisen, we assume that the approach is appropriate for all products. </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557F56A7" w14:textId="77777777" w:rsidR="00455FBE" w:rsidRPr="00142E2F" w:rsidRDefault="00455FBE" w:rsidP="00455FBE">
      <w:pPr>
        <w:pStyle w:val="Flietext"/>
        <w:rPr>
          <w:rFonts w:asciiTheme="majorHAnsi" w:hAnsiTheme="majorHAnsi"/>
          <w:lang w:val="en-GB"/>
        </w:rPr>
      </w:pPr>
      <w:permStart w:id="624894902" w:edGrp="everyone"/>
      <w:r w:rsidRPr="00142E2F">
        <w:rPr>
          <w:rFonts w:asciiTheme="majorHAnsi" w:hAnsiTheme="majorHAnsi"/>
          <w:lang w:val="en-GB"/>
        </w:rPr>
        <w:lastRenderedPageBreak/>
        <w:t>It can be helpful for investors if they know how the product has performed in the past. However, it must also be made clear to them that the past performance does not say anything about the future performance. In this respect, a historical approach gives rise to the same problems as the current scenarios which are calculated on the basis of the past performance. Furthermore past performance scenarios cause further problems with regard to OTC derivatives and many certificates, as well as bonds, since they do not exist for these instruments. No approach should be chosen that is not suitable for a large number of PRIIPs.</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12222BAD" w14:textId="77777777" w:rsidR="00455FBE" w:rsidRPr="00142E2F" w:rsidRDefault="00455FBE" w:rsidP="00455FBE">
      <w:pPr>
        <w:pStyle w:val="Flietext"/>
        <w:rPr>
          <w:rFonts w:asciiTheme="majorHAnsi" w:hAnsiTheme="majorHAnsi"/>
          <w:lang w:val="en-GB"/>
        </w:rPr>
      </w:pPr>
      <w:permStart w:id="1007688109" w:edGrp="everyone"/>
      <w:r w:rsidRPr="00142E2F">
        <w:rPr>
          <w:rFonts w:asciiTheme="majorHAnsi" w:hAnsiTheme="majorHAnsi"/>
          <w:lang w:val="en-GB"/>
        </w:rPr>
        <w:t xml:space="preserve">If a methodology is considered to be reasonable, its implementation should not fail due to an opposing level I provision. Otherwise this would mean that investors continue to receive misleading information for the sole reason that the legislator has  decided not to touch level I provisions (especially as the review is specifically also to cover level I, see above). This cannot be politically desirable. </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6A447C38" w14:textId="77777777" w:rsidR="00455FBE" w:rsidRPr="00142E2F" w:rsidRDefault="00455FBE" w:rsidP="00455FBE">
      <w:pPr>
        <w:pStyle w:val="Flietext"/>
        <w:rPr>
          <w:rFonts w:asciiTheme="majorHAnsi" w:hAnsiTheme="majorHAnsi"/>
          <w:lang w:val="en-GB"/>
        </w:rPr>
      </w:pPr>
      <w:permStart w:id="1152679739" w:edGrp="everyone"/>
      <w:r w:rsidRPr="00142E2F">
        <w:rPr>
          <w:rFonts w:asciiTheme="majorHAnsi" w:hAnsiTheme="majorHAnsi"/>
          <w:lang w:val="en-GB"/>
        </w:rPr>
        <w:t>See answer to question 26.</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E8EBC76" w14:textId="77777777" w:rsidR="00455FBE" w:rsidRPr="00142E2F" w:rsidRDefault="00455FBE" w:rsidP="00455FBE">
      <w:pPr>
        <w:pStyle w:val="Flietext"/>
        <w:rPr>
          <w:rFonts w:asciiTheme="majorHAnsi" w:hAnsiTheme="majorHAnsi"/>
          <w:lang w:val="en-GB"/>
        </w:rPr>
      </w:pPr>
      <w:permStart w:id="419824169" w:edGrp="everyone"/>
      <w:r w:rsidRPr="00142E2F">
        <w:rPr>
          <w:rFonts w:asciiTheme="majorHAnsi" w:hAnsiTheme="majorHAnsi"/>
          <w:lang w:val="en-GB"/>
        </w:rPr>
        <w:t>See answer to question 26.</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553C4F28" w14:textId="77777777" w:rsidR="00455FBE" w:rsidRPr="00142E2F" w:rsidRDefault="00455FBE" w:rsidP="00455FBE">
      <w:pPr>
        <w:pStyle w:val="Flietext"/>
        <w:rPr>
          <w:rFonts w:asciiTheme="majorHAnsi" w:hAnsiTheme="majorHAnsi"/>
          <w:lang w:val="en-GB"/>
        </w:rPr>
      </w:pPr>
      <w:permStart w:id="503522783" w:edGrp="everyone"/>
      <w:r w:rsidRPr="00142E2F">
        <w:rPr>
          <w:rFonts w:asciiTheme="majorHAnsi" w:hAnsiTheme="majorHAnsi"/>
          <w:lang w:val="en-GB"/>
        </w:rPr>
        <w:t>See answer to question 26.</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8"/>
      </w:r>
      <w:r w:rsidRPr="00424904">
        <w:rPr>
          <w:rFonts w:cstheme="minorHAnsi"/>
          <w:iCs/>
          <w:color w:val="000000"/>
        </w:rPr>
        <w:t>?</w:t>
      </w:r>
    </w:p>
    <w:p w14:paraId="245229F5" w14:textId="041AB891" w:rsidR="003E573C" w:rsidRDefault="003E573C" w:rsidP="003E573C">
      <w:pPr>
        <w:rPr>
          <w:rFonts w:cs="Arial"/>
        </w:rPr>
      </w:pPr>
      <w:r>
        <w:rPr>
          <w:rFonts w:cs="Arial"/>
        </w:rPr>
        <w:lastRenderedPageBreak/>
        <w:t>&lt;ESA_QUESTION_PKID_31&gt;</w:t>
      </w:r>
    </w:p>
    <w:p w14:paraId="414B8135" w14:textId="77777777" w:rsidR="00455FBE" w:rsidRPr="00142E2F" w:rsidRDefault="00455FBE" w:rsidP="00455FBE">
      <w:pPr>
        <w:pStyle w:val="Flietext"/>
        <w:rPr>
          <w:rFonts w:asciiTheme="majorHAnsi" w:hAnsiTheme="majorHAnsi"/>
          <w:lang w:val="en-GB"/>
        </w:rPr>
      </w:pPr>
      <w:permStart w:id="1708064826" w:edGrp="everyone"/>
      <w:r w:rsidRPr="00142E2F">
        <w:rPr>
          <w:rFonts w:asciiTheme="majorHAnsi" w:hAnsiTheme="majorHAnsi"/>
          <w:lang w:val="en-GB"/>
        </w:rPr>
        <w:t>See answer to question 26.</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538E6902" w14:textId="77777777" w:rsidR="00455FBE" w:rsidRPr="00142E2F" w:rsidRDefault="00455FBE" w:rsidP="00455FBE">
      <w:pPr>
        <w:pStyle w:val="Flietext"/>
        <w:rPr>
          <w:rFonts w:asciiTheme="majorHAnsi" w:hAnsiTheme="majorHAnsi"/>
          <w:lang w:val="en-GB"/>
        </w:rPr>
      </w:pPr>
      <w:permStart w:id="320603426" w:edGrp="everyone"/>
      <w:r w:rsidRPr="00142E2F">
        <w:rPr>
          <w:rFonts w:asciiTheme="majorHAnsi" w:hAnsiTheme="majorHAnsi"/>
          <w:lang w:val="en-GB"/>
        </w:rPr>
        <w:t>See answer to question 26.</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20915542" w14:textId="7E3862C0" w:rsidR="003E573C" w:rsidRDefault="00455FBE" w:rsidP="003E573C">
      <w:pPr>
        <w:rPr>
          <w:rFonts w:cs="Arial"/>
        </w:rPr>
      </w:pPr>
      <w:permStart w:id="621350576" w:edGrp="everyone"/>
      <w:r w:rsidRPr="00142E2F">
        <w:rPr>
          <w:rFonts w:asciiTheme="majorHAnsi" w:hAnsiTheme="majorHAnsi"/>
        </w:rPr>
        <w:t>Assuming that the cost presentation remains in the KID (see just below under Q. 36), it should be in the form of a monetary amount and a percentage, as under MiFID II</w:t>
      </w:r>
      <w:r>
        <w:rPr>
          <w:rFonts w:asciiTheme="majorHAnsi" w:hAnsiTheme="majorHAnsi"/>
        </w:rPr>
        <w:t xml:space="preserve">.  </w:t>
      </w:r>
      <w:permEnd w:id="621350576"/>
      <w:r w:rsidR="003E573C">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3347A437" w14:textId="77777777" w:rsidR="00455FBE" w:rsidRPr="00142E2F" w:rsidRDefault="00455FBE" w:rsidP="00455FBE">
      <w:pPr>
        <w:pStyle w:val="Flietext"/>
        <w:rPr>
          <w:rFonts w:asciiTheme="majorHAnsi" w:hAnsiTheme="majorHAnsi"/>
          <w:lang w:val="en-GB"/>
        </w:rPr>
      </w:pPr>
      <w:permStart w:id="354879508" w:edGrp="everyone"/>
      <w:r w:rsidRPr="00142E2F">
        <w:rPr>
          <w:rFonts w:asciiTheme="majorHAnsi" w:hAnsiTheme="majorHAnsi"/>
          <w:lang w:val="en-GB"/>
        </w:rPr>
        <w:t xml:space="preserve">In the case of financial instruments as defined in MIFID, for which the customers receive </w:t>
      </w:r>
      <w:r w:rsidRPr="00142E2F">
        <w:rPr>
          <w:rFonts w:asciiTheme="majorHAnsi" w:hAnsiTheme="majorHAnsi"/>
          <w:i/>
          <w:lang w:val="en-GB"/>
        </w:rPr>
        <w:t>ex ante</w:t>
      </w:r>
      <w:r w:rsidRPr="00142E2F">
        <w:rPr>
          <w:rFonts w:asciiTheme="majorHAnsi" w:hAnsiTheme="majorHAnsi"/>
          <w:lang w:val="en-GB"/>
        </w:rPr>
        <w:t xml:space="preserve"> cost information, the cost statement in the KID should be abandoned. </w:t>
      </w:r>
    </w:p>
    <w:p w14:paraId="5E73B063" w14:textId="77777777" w:rsidR="00455FBE" w:rsidRPr="00142E2F" w:rsidRDefault="00455FBE" w:rsidP="00455FBE">
      <w:pPr>
        <w:pStyle w:val="Flietext"/>
        <w:rPr>
          <w:rFonts w:asciiTheme="majorHAnsi" w:hAnsiTheme="majorHAnsi"/>
          <w:lang w:val="en-GB"/>
        </w:rPr>
      </w:pPr>
    </w:p>
    <w:p w14:paraId="1742C113" w14:textId="1DBFEE23"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If, however, the duplication were to be maintained, as much synchronisation as possible should be created between MiFID and PRIIPs. The decisive factor here is not so much that the values to be shown (monetary amount and percentage) are present in both documents, but more that the costs are calculated in an identical manner. To this end, it is necessary to assume no return under PRIIPs and to treat inducements under MiFID II and PRIIP Regulations in an identical </w:t>
      </w:r>
      <w:r w:rsidR="00427443">
        <w:rPr>
          <w:rFonts w:asciiTheme="majorHAnsi" w:hAnsiTheme="majorHAnsi"/>
          <w:lang w:val="en-GB"/>
        </w:rPr>
        <w:t>manner</w:t>
      </w:r>
      <w:r w:rsidRPr="00142E2F">
        <w:rPr>
          <w:rFonts w:asciiTheme="majorHAnsi" w:hAnsiTheme="majorHAnsi"/>
          <w:lang w:val="en-GB"/>
        </w:rPr>
        <w:t>.</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lastRenderedPageBreak/>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0A52C737" w14:textId="66B7BDD2" w:rsidR="00455FBE" w:rsidRPr="00B0360E" w:rsidRDefault="00427443" w:rsidP="00042832">
      <w:pPr>
        <w:pStyle w:val="Flietext"/>
        <w:rPr>
          <w:rFonts w:asciiTheme="majorHAnsi" w:hAnsiTheme="majorHAnsi"/>
          <w:lang w:val="en-US"/>
        </w:rPr>
      </w:pPr>
      <w:permStart w:id="777852593" w:edGrp="everyone"/>
      <w:r>
        <w:rPr>
          <w:rFonts w:asciiTheme="majorHAnsi" w:hAnsiTheme="majorHAnsi"/>
          <w:lang w:val="en-GB"/>
        </w:rPr>
        <w:t>It is our understanding, that</w:t>
      </w:r>
      <w:r w:rsidR="00455FBE" w:rsidRPr="00B0360E">
        <w:rPr>
          <w:rFonts w:asciiTheme="majorHAnsi" w:hAnsiTheme="majorHAnsi"/>
          <w:lang w:val="en-US"/>
        </w:rPr>
        <w:t xml:space="preserve"> the proposal will not bring about any alignment between the costs under MiFID and those under PRIIPs, as the costs under PRIIPs continue to be calculated under the assumption of a return (also see </w:t>
      </w:r>
      <w:r w:rsidR="00455FBE" w:rsidRPr="00042832">
        <w:rPr>
          <w:rFonts w:asciiTheme="majorHAnsi" w:hAnsiTheme="majorHAnsi"/>
          <w:lang w:val="en-GB"/>
        </w:rPr>
        <w:t>answer</w:t>
      </w:r>
      <w:r w:rsidR="00455FBE" w:rsidRPr="00B0360E">
        <w:rPr>
          <w:rFonts w:asciiTheme="majorHAnsi" w:hAnsiTheme="majorHAnsi"/>
          <w:lang w:val="en-US"/>
        </w:rPr>
        <w:t xml:space="preserve"> to question 36). This cannot be transferred to the MiFID cost information, as this is calculated by the distributors and the distributors do not know the performance values of the manufacturer. In addition, the different treatment of inducements is not addressed in the CP. </w:t>
      </w:r>
    </w:p>
    <w:p w14:paraId="24B14DFE" w14:textId="77777777" w:rsidR="00455FBE" w:rsidRPr="00142E2F" w:rsidRDefault="00455FBE" w:rsidP="00455FBE">
      <w:pPr>
        <w:rPr>
          <w:rFonts w:asciiTheme="majorHAnsi" w:hAnsiTheme="majorHAnsi"/>
        </w:rPr>
      </w:pPr>
    </w:p>
    <w:p w14:paraId="4109C7EA" w14:textId="67DEE678" w:rsidR="00455FBE" w:rsidRPr="00B0360E" w:rsidRDefault="00455FBE" w:rsidP="00042832">
      <w:pPr>
        <w:pStyle w:val="Flietext"/>
        <w:rPr>
          <w:rFonts w:asciiTheme="majorHAnsi" w:hAnsiTheme="majorHAnsi"/>
          <w:lang w:val="en-US"/>
        </w:rPr>
      </w:pPr>
      <w:r w:rsidRPr="00B0360E">
        <w:rPr>
          <w:rFonts w:asciiTheme="majorHAnsi" w:hAnsiTheme="majorHAnsi"/>
          <w:lang w:val="en-US"/>
        </w:rPr>
        <w:t xml:space="preserve">Until this </w:t>
      </w:r>
      <w:r w:rsidRPr="00042832">
        <w:rPr>
          <w:rFonts w:asciiTheme="majorHAnsi" w:hAnsiTheme="majorHAnsi"/>
          <w:lang w:val="en-GB"/>
        </w:rPr>
        <w:t>fundamental</w:t>
      </w:r>
      <w:r w:rsidRPr="00B0360E">
        <w:rPr>
          <w:rFonts w:asciiTheme="majorHAnsi" w:hAnsiTheme="majorHAnsi"/>
          <w:lang w:val="en-US"/>
        </w:rPr>
        <w:t xml:space="preserve"> problem is resolved, the review will not be successful in the field of product costs.</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309D6067" w14:textId="772471B1" w:rsidR="00455FBE" w:rsidRPr="00142E2F" w:rsidRDefault="00455FBE" w:rsidP="00455FBE">
      <w:pPr>
        <w:pStyle w:val="Flietext"/>
        <w:rPr>
          <w:rFonts w:asciiTheme="majorHAnsi" w:hAnsiTheme="majorHAnsi"/>
          <w:lang w:val="en-GB"/>
        </w:rPr>
      </w:pPr>
      <w:permStart w:id="1928422042" w:edGrp="everyone"/>
      <w:r w:rsidRPr="00142E2F">
        <w:rPr>
          <w:rFonts w:asciiTheme="majorHAnsi" w:hAnsiTheme="majorHAnsi"/>
          <w:lang w:val="en-GB"/>
        </w:rPr>
        <w:t xml:space="preserve">In our view, the costs – by way of analogy with the provisions of MiFID II – should be calculated without assuming a (fictitious) return. In addition, a statement must be made under PRIIPs on the treatment of inducements, which also applies under </w:t>
      </w:r>
      <w:r>
        <w:rPr>
          <w:rFonts w:asciiTheme="majorHAnsi" w:hAnsiTheme="majorHAnsi"/>
          <w:lang w:val="en-GB"/>
        </w:rPr>
        <w:t>MiFID II.</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lastRenderedPageBreak/>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194651FC" w14:textId="77777777" w:rsidR="00455FBE" w:rsidRPr="00142E2F" w:rsidRDefault="00455FBE" w:rsidP="00455FBE">
      <w:pPr>
        <w:pStyle w:val="Flietext"/>
        <w:rPr>
          <w:rFonts w:asciiTheme="majorHAnsi" w:hAnsiTheme="majorHAnsi"/>
          <w:lang w:val="en-GB"/>
        </w:rPr>
      </w:pPr>
      <w:permStart w:id="700270871" w:edGrp="everyone"/>
      <w:r w:rsidRPr="00142E2F">
        <w:rPr>
          <w:rFonts w:asciiTheme="majorHAnsi" w:hAnsiTheme="majorHAnsi"/>
          <w:lang w:val="en-GB"/>
        </w:rPr>
        <w:t>The legislator took the sound decision in the PRIIPs Regulation that only retail investors need a KID. This is consistent with the presumption in Article 54(3) and Article 56(1) MiFID Delegated Regulation that professionals have a sufficient level of knowledge and experience. This presumption too shows that professional clients do not have an information deficit and therefore do not need any product information.</w:t>
      </w:r>
    </w:p>
    <w:p w14:paraId="39C3FEFF" w14:textId="77777777" w:rsidR="00455FBE" w:rsidRPr="00142E2F" w:rsidRDefault="00455FBE" w:rsidP="00455FBE">
      <w:pPr>
        <w:pStyle w:val="Flietext"/>
        <w:rPr>
          <w:rFonts w:asciiTheme="majorHAnsi" w:hAnsiTheme="majorHAnsi"/>
          <w:lang w:val="en-GB"/>
        </w:rPr>
      </w:pPr>
    </w:p>
    <w:p w14:paraId="2F1A5D4C" w14:textId="77777777" w:rsidR="00455FBE" w:rsidRPr="00142E2F" w:rsidRDefault="00455FBE" w:rsidP="00455FBE">
      <w:pPr>
        <w:pStyle w:val="Flietext"/>
        <w:rPr>
          <w:rFonts w:asciiTheme="majorHAnsi" w:hAnsiTheme="majorHAnsi"/>
          <w:lang w:val="en-GB"/>
        </w:rPr>
      </w:pPr>
      <w:r w:rsidRPr="00142E2F">
        <w:rPr>
          <w:rFonts w:asciiTheme="majorHAnsi" w:hAnsiTheme="majorHAnsi"/>
          <w:lang w:val="en-GB"/>
        </w:rPr>
        <w:t xml:space="preserve">This must also apply for funds so that in future the KID is the general information document for funds that is used only in relation to retail investors. </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7D86C7C6" w14:textId="77777777" w:rsidR="00455FBE" w:rsidRPr="00142E2F" w:rsidRDefault="00455FBE" w:rsidP="008A74F3">
      <w:pPr>
        <w:pStyle w:val="Flietext"/>
        <w:rPr>
          <w:rFonts w:asciiTheme="majorHAnsi" w:hAnsiTheme="majorHAnsi"/>
          <w:lang w:val="en-GB"/>
        </w:rPr>
      </w:pPr>
      <w:permStart w:id="649920829" w:edGrp="everyone"/>
      <w:r w:rsidRPr="00142E2F">
        <w:rPr>
          <w:rFonts w:asciiTheme="majorHAnsi" w:hAnsiTheme="majorHAnsi"/>
          <w:lang w:val="en-GB"/>
        </w:rPr>
        <w:t xml:space="preserve">The legislator has provided for a very practical regulation on the provision of key investor information (KII) for savings plans. This takes account of the fact that fund saving plans are mass-produced. For instance, one large German depositary alone has a total of some 4.5 million savings plans in portfolio. Electronic communication has been agreed with only just under 21% of the deposit holders concerned. </w:t>
      </w:r>
    </w:p>
    <w:p w14:paraId="36AAE959" w14:textId="77777777" w:rsidR="00455FBE" w:rsidRPr="00142E2F" w:rsidRDefault="00455FBE" w:rsidP="008A74F3">
      <w:pPr>
        <w:pStyle w:val="Flietext"/>
        <w:rPr>
          <w:rFonts w:asciiTheme="majorHAnsi" w:hAnsiTheme="majorHAnsi"/>
          <w:lang w:val="en-GB"/>
        </w:rPr>
      </w:pPr>
    </w:p>
    <w:p w14:paraId="55C6BCE5" w14:textId="77777777" w:rsidR="00455FBE" w:rsidRPr="00142E2F" w:rsidRDefault="00455FBE" w:rsidP="008A74F3">
      <w:pPr>
        <w:pStyle w:val="Flietext"/>
        <w:rPr>
          <w:rFonts w:asciiTheme="majorHAnsi" w:hAnsiTheme="majorHAnsi" w:cs="Helv"/>
          <w:color w:val="000000"/>
          <w:szCs w:val="20"/>
          <w:lang w:val="en-GB"/>
        </w:rPr>
      </w:pPr>
      <w:r w:rsidRPr="00142E2F">
        <w:rPr>
          <w:rFonts w:asciiTheme="majorHAnsi" w:hAnsiTheme="majorHAnsi"/>
          <w:lang w:val="en-GB"/>
        </w:rPr>
        <w:t>In addition, the provision takes account of the fact that the investor takes an investment decision only on concluding a savings plan. This correct assessment should also be transferred to the PRIIPs Regulation, if this is also applicable to funds in the future. This applies in particular against the background that in the PRIIPs Regulation too, it is clear at several points that the KID is to form the basis of the investment decision, see, for example</w:t>
      </w:r>
      <w:r w:rsidRPr="00142E2F">
        <w:rPr>
          <w:rFonts w:asciiTheme="majorHAnsi" w:hAnsiTheme="majorHAnsi" w:cs="Helv"/>
          <w:color w:val="000000"/>
          <w:szCs w:val="20"/>
          <w:lang w:val="en-GB"/>
        </w:rPr>
        <w:t>:</w:t>
      </w:r>
    </w:p>
    <w:p w14:paraId="4449748F" w14:textId="77777777" w:rsidR="00455FBE" w:rsidRPr="00142E2F" w:rsidRDefault="00455FBE" w:rsidP="008A74F3">
      <w:pPr>
        <w:autoSpaceDE w:val="0"/>
        <w:autoSpaceDN w:val="0"/>
        <w:adjustRightInd w:val="0"/>
        <w:rPr>
          <w:rFonts w:asciiTheme="majorHAnsi" w:hAnsiTheme="majorHAnsi" w:cs="Helv"/>
          <w:color w:val="000000"/>
          <w:szCs w:val="20"/>
        </w:rPr>
      </w:pPr>
    </w:p>
    <w:p w14:paraId="510963D8" w14:textId="77777777" w:rsidR="00455FBE" w:rsidRPr="00142E2F" w:rsidRDefault="00455FBE" w:rsidP="00B63AB5">
      <w:pPr>
        <w:numPr>
          <w:ilvl w:val="0"/>
          <w:numId w:val="43"/>
        </w:numPr>
        <w:autoSpaceDE w:val="0"/>
        <w:autoSpaceDN w:val="0"/>
        <w:adjustRightInd w:val="0"/>
        <w:spacing w:line="300" w:lineRule="exact"/>
        <w:rPr>
          <w:rFonts w:asciiTheme="majorHAnsi" w:hAnsiTheme="majorHAnsi" w:cs="Helv"/>
          <w:color w:val="000000"/>
          <w:szCs w:val="20"/>
        </w:rPr>
      </w:pPr>
      <w:r w:rsidRPr="00142E2F">
        <w:rPr>
          <w:rFonts w:asciiTheme="majorHAnsi" w:hAnsiTheme="majorHAnsi" w:cs="Helv"/>
          <w:color w:val="000000"/>
          <w:szCs w:val="20"/>
        </w:rPr>
        <w:t xml:space="preserve">Recital 15: </w:t>
      </w:r>
      <w:r w:rsidRPr="00142E2F">
        <w:rPr>
          <w:rFonts w:asciiTheme="majorHAnsi" w:hAnsiTheme="majorHAnsi" w:cs="Helv"/>
          <w:i/>
          <w:color w:val="000000"/>
          <w:szCs w:val="20"/>
        </w:rPr>
        <w:t>“</w:t>
      </w:r>
      <w:r w:rsidRPr="00142E2F">
        <w:rPr>
          <w:rFonts w:asciiTheme="majorHAnsi" w:hAnsiTheme="majorHAnsi"/>
          <w:i/>
        </w:rPr>
        <w:t xml:space="preserve">Retail investors should be provided with the information necessary for them to make </w:t>
      </w:r>
      <w:r w:rsidRPr="00142E2F">
        <w:rPr>
          <w:rFonts w:asciiTheme="majorHAnsi" w:hAnsiTheme="majorHAnsi"/>
          <w:i/>
          <w:u w:val="single"/>
        </w:rPr>
        <w:t>an informed investment decision</w:t>
      </w:r>
      <w:r w:rsidRPr="00142E2F">
        <w:rPr>
          <w:rFonts w:asciiTheme="majorHAnsi" w:hAnsiTheme="majorHAnsi"/>
          <w:i/>
        </w:rPr>
        <w:t xml:space="preserve"> and compare different PRIIPs, ...”</w:t>
      </w:r>
      <w:r w:rsidRPr="00142E2F">
        <w:rPr>
          <w:rFonts w:asciiTheme="majorHAnsi" w:hAnsiTheme="majorHAnsi"/>
        </w:rPr>
        <w:t xml:space="preserve"> </w:t>
      </w:r>
    </w:p>
    <w:p w14:paraId="704843C3" w14:textId="77777777" w:rsidR="00455FBE" w:rsidRPr="00142E2F" w:rsidRDefault="00455FBE" w:rsidP="008A74F3">
      <w:pPr>
        <w:autoSpaceDE w:val="0"/>
        <w:autoSpaceDN w:val="0"/>
        <w:adjustRightInd w:val="0"/>
        <w:ind w:left="360"/>
        <w:rPr>
          <w:rFonts w:asciiTheme="majorHAnsi" w:hAnsiTheme="majorHAnsi" w:cs="Helv"/>
          <w:color w:val="000000"/>
          <w:szCs w:val="20"/>
        </w:rPr>
      </w:pPr>
    </w:p>
    <w:p w14:paraId="1F5C7811" w14:textId="77777777" w:rsidR="00455FBE" w:rsidRPr="00142E2F" w:rsidRDefault="00455FBE" w:rsidP="00B63AB5">
      <w:pPr>
        <w:numPr>
          <w:ilvl w:val="0"/>
          <w:numId w:val="43"/>
        </w:numPr>
        <w:autoSpaceDE w:val="0"/>
        <w:autoSpaceDN w:val="0"/>
        <w:adjustRightInd w:val="0"/>
        <w:spacing w:line="300" w:lineRule="exact"/>
        <w:rPr>
          <w:rFonts w:asciiTheme="majorHAnsi" w:hAnsiTheme="majorHAnsi" w:cs="Helv"/>
          <w:color w:val="000000"/>
          <w:szCs w:val="20"/>
        </w:rPr>
      </w:pPr>
      <w:r w:rsidRPr="00142E2F">
        <w:rPr>
          <w:rFonts w:asciiTheme="majorHAnsi" w:hAnsiTheme="majorHAnsi" w:cs="Helv"/>
          <w:color w:val="000000"/>
          <w:szCs w:val="20"/>
        </w:rPr>
        <w:lastRenderedPageBreak/>
        <w:t>Recital 17: “</w:t>
      </w:r>
      <w:r w:rsidRPr="00142E2F">
        <w:rPr>
          <w:rFonts w:asciiTheme="majorHAnsi" w:hAnsiTheme="majorHAnsi" w:cs="Helv"/>
          <w:i/>
          <w:color w:val="000000"/>
          <w:szCs w:val="20"/>
        </w:rPr>
        <w:t xml:space="preserve">The key information document should be drawn up in a standardised format which </w:t>
      </w:r>
      <w:r w:rsidRPr="00142E2F">
        <w:rPr>
          <w:rFonts w:asciiTheme="majorHAnsi" w:hAnsiTheme="majorHAnsi" w:cs="Helv"/>
          <w:i/>
          <w:color w:val="000000"/>
          <w:szCs w:val="20"/>
          <w:u w:val="single"/>
        </w:rPr>
        <w:t>allows retail investors to compare different PRIIPs</w:t>
      </w:r>
      <w:r w:rsidRPr="00142E2F">
        <w:rPr>
          <w:rFonts w:asciiTheme="majorHAnsi" w:hAnsiTheme="majorHAnsi"/>
          <w:i/>
        </w:rPr>
        <w:t>, ...”</w:t>
      </w:r>
    </w:p>
    <w:p w14:paraId="3976F121" w14:textId="77777777" w:rsidR="00455FBE" w:rsidRPr="00142E2F" w:rsidRDefault="00455FBE" w:rsidP="008A74F3">
      <w:pPr>
        <w:autoSpaceDE w:val="0"/>
        <w:autoSpaceDN w:val="0"/>
        <w:adjustRightInd w:val="0"/>
        <w:ind w:left="360"/>
        <w:rPr>
          <w:rFonts w:asciiTheme="majorHAnsi" w:hAnsiTheme="majorHAnsi" w:cs="Helv"/>
          <w:color w:val="000000"/>
          <w:szCs w:val="20"/>
        </w:rPr>
      </w:pPr>
    </w:p>
    <w:p w14:paraId="230D475F" w14:textId="77777777" w:rsidR="00455FBE" w:rsidRPr="00142E2F" w:rsidRDefault="00455FBE" w:rsidP="00B63AB5">
      <w:pPr>
        <w:numPr>
          <w:ilvl w:val="0"/>
          <w:numId w:val="43"/>
        </w:numPr>
        <w:autoSpaceDE w:val="0"/>
        <w:autoSpaceDN w:val="0"/>
        <w:adjustRightInd w:val="0"/>
        <w:spacing w:line="300" w:lineRule="exact"/>
        <w:rPr>
          <w:rFonts w:asciiTheme="majorHAnsi" w:hAnsiTheme="majorHAnsi" w:cs="Helv"/>
          <w:i/>
          <w:iCs/>
          <w:color w:val="000000"/>
          <w:szCs w:val="20"/>
        </w:rPr>
      </w:pPr>
      <w:r w:rsidRPr="00142E2F">
        <w:rPr>
          <w:rFonts w:asciiTheme="majorHAnsi" w:hAnsiTheme="majorHAnsi" w:cs="Helv"/>
          <w:color w:val="000000"/>
          <w:szCs w:val="20"/>
        </w:rPr>
        <w:t>The legislative intention is also expressed in the level II text (Delegated Regulation (EU) 2017/653), Article 17 of which contains detailed requirements on the timing of the delivery of the KID. Recital 24 states: “</w:t>
      </w:r>
      <w:r w:rsidRPr="00142E2F">
        <w:rPr>
          <w:rFonts w:asciiTheme="majorHAnsi" w:hAnsiTheme="majorHAnsi" w:cs="Helv"/>
          <w:i/>
          <w:color w:val="000000"/>
          <w:szCs w:val="20"/>
        </w:rPr>
        <w:t xml:space="preserve">The key information document should be made available to retail investors </w:t>
      </w:r>
      <w:r w:rsidRPr="00142E2F">
        <w:rPr>
          <w:rFonts w:asciiTheme="majorHAnsi" w:hAnsiTheme="majorHAnsi" w:cs="Helv"/>
          <w:i/>
          <w:color w:val="000000"/>
          <w:szCs w:val="20"/>
          <w:u w:val="single"/>
        </w:rPr>
        <w:t>sufficiently prior to their investment decision</w:t>
      </w:r>
      <w:r w:rsidRPr="00142E2F">
        <w:rPr>
          <w:rFonts w:asciiTheme="majorHAnsi" w:hAnsiTheme="majorHAnsi" w:cs="Helv"/>
          <w:i/>
          <w:color w:val="000000"/>
          <w:szCs w:val="20"/>
        </w:rPr>
        <w:t>, so that they are able to understand and take into account the relevant PRIIP information when making that decision. ...</w:t>
      </w:r>
      <w:r w:rsidRPr="00142E2F">
        <w:rPr>
          <w:rFonts w:asciiTheme="majorHAnsi" w:hAnsiTheme="majorHAnsi" w:cs="Helv"/>
          <w:color w:val="000000"/>
          <w:szCs w:val="20"/>
        </w:rPr>
        <w:t>”</w:t>
      </w:r>
    </w:p>
    <w:p w14:paraId="4F77CCD2" w14:textId="77777777" w:rsidR="00455FBE" w:rsidRPr="00142E2F" w:rsidRDefault="00455FBE" w:rsidP="008A74F3">
      <w:pPr>
        <w:autoSpaceDE w:val="0"/>
        <w:autoSpaceDN w:val="0"/>
        <w:adjustRightInd w:val="0"/>
        <w:ind w:left="360"/>
        <w:rPr>
          <w:rFonts w:asciiTheme="majorHAnsi" w:hAnsiTheme="majorHAnsi" w:cs="Helv"/>
          <w:i/>
          <w:iCs/>
          <w:color w:val="000000"/>
          <w:szCs w:val="20"/>
        </w:rPr>
      </w:pPr>
    </w:p>
    <w:p w14:paraId="41F96ECD" w14:textId="77777777" w:rsidR="00455FBE" w:rsidRPr="00B0360E" w:rsidRDefault="00455FBE" w:rsidP="00042832">
      <w:pPr>
        <w:pStyle w:val="Flietext"/>
        <w:rPr>
          <w:rFonts w:asciiTheme="majorHAnsi" w:hAnsiTheme="majorHAnsi"/>
          <w:lang w:val="en-US"/>
        </w:rPr>
      </w:pPr>
      <w:r w:rsidRPr="00B0360E">
        <w:rPr>
          <w:rFonts w:asciiTheme="majorHAnsi" w:hAnsiTheme="majorHAnsi" w:cs="Helv"/>
          <w:color w:val="000000"/>
          <w:szCs w:val="20"/>
          <w:lang w:val="en-US"/>
        </w:rPr>
        <w:t xml:space="preserve">In the case of savings plans, the customer makes an investment decision only on concluding the contract, but not on the </w:t>
      </w:r>
      <w:r w:rsidRPr="00042832">
        <w:rPr>
          <w:rFonts w:asciiTheme="majorHAnsi" w:hAnsiTheme="majorHAnsi"/>
          <w:lang w:val="en-GB"/>
        </w:rPr>
        <w:t>execution</w:t>
      </w:r>
      <w:r w:rsidRPr="00B0360E">
        <w:rPr>
          <w:rFonts w:asciiTheme="majorHAnsi" w:hAnsiTheme="majorHAnsi" w:cs="Helv"/>
          <w:color w:val="000000"/>
          <w:szCs w:val="20"/>
          <w:lang w:val="en-US"/>
        </w:rPr>
        <w:t xml:space="preserve"> of the individual savings instalments. After conclusion of the savings plan, the customer has the product</w:t>
      </w:r>
      <w:r w:rsidRPr="00B0360E">
        <w:rPr>
          <w:rFonts w:asciiTheme="majorHAnsi" w:hAnsiTheme="majorHAnsi"/>
          <w:lang w:val="en-US"/>
        </w:rPr>
        <w:t xml:space="preserve"> (PRIIP) in portfolio and can therefore see, on the basis of this portfolio, how the product performs and which costs are incurred (annual cost reporting). In the event of market changes, he can also see how the product reacts to risk factors. There is therefore no need for additional provision of the KID.</w:t>
      </w:r>
    </w:p>
    <w:p w14:paraId="191C9880" w14:textId="77777777" w:rsidR="00455FBE" w:rsidRPr="00142E2F" w:rsidRDefault="00455FBE" w:rsidP="008A74F3">
      <w:pPr>
        <w:pStyle w:val="Flietext"/>
        <w:rPr>
          <w:rFonts w:asciiTheme="majorHAnsi" w:hAnsiTheme="majorHAnsi"/>
          <w:lang w:val="en-GB"/>
        </w:rPr>
      </w:pPr>
    </w:p>
    <w:p w14:paraId="282BB55C" w14:textId="124DC2E4" w:rsidR="00042832" w:rsidRPr="00B0360E" w:rsidRDefault="00455FBE" w:rsidP="00042832">
      <w:pPr>
        <w:pStyle w:val="Flietext"/>
        <w:rPr>
          <w:rFonts w:asciiTheme="majorHAnsi" w:hAnsiTheme="majorHAnsi"/>
          <w:lang w:val="en-US"/>
        </w:rPr>
      </w:pPr>
      <w:r w:rsidRPr="00B0360E">
        <w:rPr>
          <w:rFonts w:asciiTheme="majorHAnsi" w:hAnsiTheme="majorHAnsi"/>
          <w:lang w:val="en-US"/>
        </w:rPr>
        <w:t>If the legislator considers the provision of the KID to be necessary during the savings plan too, it should amend the current regulation (Article 13(4) PRIIP Regulation) to the effect that the corresponding KID is to be made available to the savings plan customer once a year (for example with the annual deposit statement/</w:t>
      </w:r>
      <w:r w:rsidR="004607A1" w:rsidRPr="00B0360E">
        <w:rPr>
          <w:rFonts w:asciiTheme="majorHAnsi" w:hAnsiTheme="majorHAnsi"/>
          <w:lang w:val="en-US"/>
        </w:rPr>
        <w:t xml:space="preserve">ex post </w:t>
      </w:r>
      <w:r w:rsidRPr="00B0360E">
        <w:rPr>
          <w:rFonts w:asciiTheme="majorHAnsi" w:hAnsiTheme="majorHAnsi"/>
          <w:lang w:val="en-US"/>
        </w:rPr>
        <w:t xml:space="preserve">cost reporting). This would enable the institutions to link the expensive mailing of the KID to other recurring information, such as for example the annual </w:t>
      </w:r>
      <w:r w:rsidR="004607A1" w:rsidRPr="00B0360E">
        <w:rPr>
          <w:rFonts w:asciiTheme="majorHAnsi" w:hAnsiTheme="majorHAnsi"/>
          <w:lang w:val="en-US"/>
        </w:rPr>
        <w:t xml:space="preserve">ex post </w:t>
      </w:r>
      <w:r w:rsidRPr="00B0360E">
        <w:rPr>
          <w:rFonts w:asciiTheme="majorHAnsi" w:hAnsiTheme="majorHAnsi"/>
          <w:lang w:val="en-US"/>
        </w:rPr>
        <w:t xml:space="preserve">cost reporting, and to avoid the unnecessary costs of providing it on its own. </w:t>
      </w:r>
    </w:p>
    <w:permEnd w:id="649920829"/>
    <w:p w14:paraId="18F6EFCE" w14:textId="001E5EE9"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9290753" w14:textId="77777777" w:rsidR="00455FBE" w:rsidRPr="00142E2F" w:rsidRDefault="00455FBE" w:rsidP="00455FBE">
      <w:pPr>
        <w:pStyle w:val="Flietext"/>
        <w:rPr>
          <w:rFonts w:asciiTheme="majorHAnsi" w:hAnsiTheme="majorHAnsi"/>
          <w:lang w:val="en-GB"/>
        </w:rPr>
      </w:pPr>
      <w:permStart w:id="803234900" w:edGrp="everyone"/>
      <w:r w:rsidRPr="00142E2F">
        <w:rPr>
          <w:rFonts w:asciiTheme="majorHAnsi" w:hAnsiTheme="majorHAnsi"/>
          <w:lang w:val="en-GB"/>
        </w:rPr>
        <w:t>No.</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lastRenderedPageBreak/>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0568" w14:textId="77777777" w:rsidR="00A262C6" w:rsidRDefault="00A262C6">
      <w:r>
        <w:separator/>
      </w:r>
    </w:p>
    <w:p w14:paraId="0B84493E" w14:textId="77777777" w:rsidR="00A262C6" w:rsidRDefault="00A262C6"/>
  </w:endnote>
  <w:endnote w:type="continuationSeparator" w:id="0">
    <w:p w14:paraId="5FA33E23" w14:textId="77777777" w:rsidR="00A262C6" w:rsidRDefault="00A262C6">
      <w:r>
        <w:continuationSeparator/>
      </w:r>
    </w:p>
    <w:p w14:paraId="1493BE07" w14:textId="77777777" w:rsidR="00A262C6" w:rsidRDefault="00A262C6"/>
  </w:endnote>
  <w:endnote w:type="continuationNotice" w:id="1">
    <w:p w14:paraId="77429A71" w14:textId="77777777" w:rsidR="00A262C6" w:rsidRDefault="00A26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IDFont+F1">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0E59" w14:textId="77777777" w:rsidR="00A262C6" w:rsidRDefault="00A262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262C6" w:rsidRPr="00616B9B" w14:paraId="6A3CB0EF" w14:textId="77777777" w:rsidTr="00315E96">
      <w:trPr>
        <w:trHeight w:val="284"/>
      </w:trPr>
      <w:tc>
        <w:tcPr>
          <w:tcW w:w="8460" w:type="dxa"/>
        </w:tcPr>
        <w:p w14:paraId="6A3CB0ED" w14:textId="77777777" w:rsidR="00A262C6" w:rsidRPr="00315E96" w:rsidRDefault="00A262C6" w:rsidP="00315E96">
          <w:pPr>
            <w:pStyle w:val="00Footer"/>
            <w:rPr>
              <w:lang w:val="fr-FR"/>
            </w:rPr>
          </w:pPr>
        </w:p>
      </w:tc>
      <w:tc>
        <w:tcPr>
          <w:tcW w:w="952" w:type="dxa"/>
        </w:tcPr>
        <w:p w14:paraId="6A3CB0EE" w14:textId="6CC4CDEF" w:rsidR="00A262C6" w:rsidRPr="00616B9B" w:rsidRDefault="00A262C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E496C">
            <w:rPr>
              <w:rFonts w:cs="Arial"/>
              <w:noProof/>
              <w:sz w:val="22"/>
              <w:szCs w:val="22"/>
            </w:rPr>
            <w:t>20</w:t>
          </w:r>
          <w:r w:rsidRPr="00616B9B">
            <w:rPr>
              <w:rFonts w:cs="Arial"/>
              <w:noProof/>
              <w:sz w:val="22"/>
              <w:szCs w:val="22"/>
            </w:rPr>
            <w:fldChar w:fldCharType="end"/>
          </w:r>
        </w:p>
      </w:tc>
    </w:tr>
  </w:tbl>
  <w:p w14:paraId="6A3CB0F0" w14:textId="77777777" w:rsidR="00A262C6" w:rsidRDefault="00A262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AD7D7" w14:textId="77777777" w:rsidR="00A262C6" w:rsidRDefault="00A262C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A262C6" w:rsidRDefault="00A262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87627" w14:textId="77777777" w:rsidR="00A262C6" w:rsidRDefault="00A262C6">
      <w:r>
        <w:separator/>
      </w:r>
    </w:p>
    <w:p w14:paraId="54B9A30A" w14:textId="77777777" w:rsidR="00A262C6" w:rsidRDefault="00A262C6"/>
  </w:footnote>
  <w:footnote w:type="continuationSeparator" w:id="0">
    <w:p w14:paraId="403328AC" w14:textId="77777777" w:rsidR="00A262C6" w:rsidRDefault="00A262C6">
      <w:r>
        <w:continuationSeparator/>
      </w:r>
    </w:p>
    <w:p w14:paraId="05AC2F38" w14:textId="77777777" w:rsidR="00A262C6" w:rsidRDefault="00A262C6"/>
  </w:footnote>
  <w:footnote w:type="continuationNotice" w:id="1">
    <w:p w14:paraId="3A008AFC" w14:textId="77777777" w:rsidR="00A262C6" w:rsidRDefault="00A262C6"/>
  </w:footnote>
  <w:footnote w:id="2">
    <w:p w14:paraId="3ADCE2CB" w14:textId="77777777" w:rsidR="00A262C6" w:rsidRPr="009E1A8D" w:rsidRDefault="00A262C6"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A262C6" w:rsidRDefault="00A262C6"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A262C6" w:rsidRDefault="00A262C6"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44CC650E" w14:textId="77777777" w:rsidR="00A262C6" w:rsidRPr="00142E2F" w:rsidRDefault="00A262C6" w:rsidP="00493FAA">
      <w:pPr>
        <w:pStyle w:val="Funotentext"/>
        <w:rPr>
          <w:lang w:val="en-US"/>
        </w:rPr>
      </w:pPr>
      <w:r>
        <w:rPr>
          <w:rStyle w:val="Funotenzeichen"/>
        </w:rPr>
        <w:footnoteRef/>
      </w:r>
      <w:r w:rsidRPr="00142E2F">
        <w:rPr>
          <w:lang w:val="en-US"/>
        </w:rPr>
        <w:t xml:space="preserve"> </w:t>
      </w:r>
      <w:r w:rsidRPr="00142E2F">
        <w:rPr>
          <w:iCs/>
          <w:lang w:val="en-US"/>
        </w:rPr>
        <w:t>The Deutscher Sparkassen- und Giroverband (DSGV – German Savings Banks Association) is the umbrella organisation of the Sparkassen-Finanzgruppe (Savings Banks Finance Group). The organisation includes 379 savings banks, five Landesbank Groups, DekaBank, nine Landesbausparkassen, eleven direct insurer groups of the savings banks, and many other financial service providers.</w:t>
      </w:r>
    </w:p>
  </w:footnote>
  <w:footnote w:id="6">
    <w:p w14:paraId="704D90E4" w14:textId="77777777" w:rsidR="00A262C6" w:rsidRPr="00142E2F" w:rsidRDefault="00A262C6" w:rsidP="00493FAA">
      <w:pPr>
        <w:pStyle w:val="Funotentext"/>
        <w:rPr>
          <w:lang w:val="en-US"/>
        </w:rPr>
      </w:pPr>
      <w:r>
        <w:rPr>
          <w:rStyle w:val="Funotenzeichen"/>
        </w:rPr>
        <w:footnoteRef/>
      </w:r>
      <w:r w:rsidRPr="00142E2F">
        <w:rPr>
          <w:lang w:val="en-US"/>
        </w:rPr>
        <w:t xml:space="preserve"> </w:t>
      </w:r>
      <w:r w:rsidRPr="002A6C97">
        <w:rPr>
          <w:lang w:val="en-US"/>
        </w:rPr>
        <w:t xml:space="preserve">The Association of German Public Banks </w:t>
      </w:r>
      <w:r w:rsidRPr="002A6C97">
        <w:rPr>
          <w:rFonts w:cs="Verdana"/>
          <w:lang w:val="en-US"/>
        </w:rPr>
        <w:t>–</w:t>
      </w:r>
      <w:r w:rsidRPr="002A6C97">
        <w:rPr>
          <w:lang w:val="en-US"/>
        </w:rPr>
        <w:t xml:space="preserve"> Bundesverband </w:t>
      </w:r>
      <w:r w:rsidRPr="002A6C97">
        <w:rPr>
          <w:rFonts w:cs="Verdana"/>
          <w:lang w:val="en-US"/>
        </w:rPr>
        <w:t>Ö</w:t>
      </w:r>
      <w:r w:rsidRPr="002A6C97">
        <w:rPr>
          <w:lang w:val="en-US"/>
        </w:rPr>
        <w:t>ffentlicher Banken Deutschlands, V</w:t>
      </w:r>
      <w:r w:rsidRPr="002A6C97">
        <w:rPr>
          <w:rFonts w:cs="Verdana"/>
          <w:lang w:val="en-US"/>
        </w:rPr>
        <w:t>Ö</w:t>
      </w:r>
      <w:r w:rsidRPr="002A6C97">
        <w:rPr>
          <w:lang w:val="en-US"/>
        </w:rPr>
        <w:t xml:space="preserve">B </w:t>
      </w:r>
      <w:r w:rsidRPr="002A6C97">
        <w:rPr>
          <w:rFonts w:cs="Verdana"/>
          <w:lang w:val="en-US"/>
        </w:rPr>
        <w:t>–</w:t>
      </w:r>
      <w:r w:rsidRPr="002A6C97">
        <w:rPr>
          <w:lang w:val="en-US"/>
        </w:rPr>
        <w:t xml:space="preserve"> is a leading industry association in the German banking industry. It represents 61 member institutions including the regional banks (Landesbanken) as well as the development banks owned by the federal and state governments.</w:t>
      </w:r>
    </w:p>
  </w:footnote>
  <w:footnote w:id="7">
    <w:p w14:paraId="3FCA0260" w14:textId="77777777" w:rsidR="00A262C6" w:rsidRPr="00940916" w:rsidRDefault="00A262C6" w:rsidP="00455FBE">
      <w:pPr>
        <w:pStyle w:val="Funotentext"/>
      </w:pPr>
      <w:r w:rsidRPr="00940916">
        <w:rPr>
          <w:rStyle w:val="Funotenzeichen"/>
        </w:rPr>
        <w:footnoteRef/>
      </w:r>
      <w:r w:rsidRPr="00940916">
        <w:t xml:space="preserve"> ESAs: Q&amp;A on the PRIIPs Key Information Document (KID) (JC 2017 49), </w:t>
      </w:r>
      <w:r>
        <w:t>“</w:t>
      </w:r>
      <w:r w:rsidRPr="00940916">
        <w:t>Derivatives</w:t>
      </w:r>
      <w:r>
        <w:t>”</w:t>
      </w:r>
      <w:r w:rsidRPr="00940916">
        <w:t xml:space="preserve"> Q 4.</w:t>
      </w:r>
    </w:p>
  </w:footnote>
  <w:footnote w:id="8">
    <w:p w14:paraId="0A1F2363" w14:textId="77777777" w:rsidR="00A262C6" w:rsidRPr="00653F3B" w:rsidRDefault="00A262C6"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DCD1" w14:textId="77777777" w:rsidR="00A262C6" w:rsidRDefault="00A262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0B1FCCA2" w:rsidR="00A262C6" w:rsidRDefault="00A262C6">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57FA93C8" w:rsidR="00A262C6" w:rsidRDefault="00A262C6"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A262C6" w:rsidRDefault="00A262C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262C6" w:rsidRPr="002F4496" w14:paraId="6A3CB0F5" w14:textId="77777777" w:rsidTr="000C06C9">
      <w:trPr>
        <w:trHeight w:val="284"/>
      </w:trPr>
      <w:tc>
        <w:tcPr>
          <w:tcW w:w="8460" w:type="dxa"/>
        </w:tcPr>
        <w:p w14:paraId="6A3CB0F3" w14:textId="77777777" w:rsidR="00A262C6" w:rsidRPr="000C3B6D" w:rsidRDefault="00A262C6" w:rsidP="000C06C9">
          <w:pPr>
            <w:pStyle w:val="00Footer"/>
            <w:rPr>
              <w:lang w:val="fr-FR"/>
            </w:rPr>
          </w:pPr>
        </w:p>
      </w:tc>
      <w:tc>
        <w:tcPr>
          <w:tcW w:w="952" w:type="dxa"/>
        </w:tcPr>
        <w:p w14:paraId="6A3CB0F4" w14:textId="77777777" w:rsidR="00A262C6" w:rsidRPr="00146B34" w:rsidRDefault="00A262C6" w:rsidP="000C06C9">
          <w:pPr>
            <w:pStyle w:val="00aPagenumber"/>
            <w:rPr>
              <w:lang w:val="fr-FR"/>
            </w:rPr>
          </w:pPr>
        </w:p>
      </w:tc>
    </w:tr>
  </w:tbl>
  <w:p w14:paraId="6A3CB0F6" w14:textId="77777777" w:rsidR="00A262C6" w:rsidRPr="00DB46C3" w:rsidRDefault="00A262C6">
    <w:pPr>
      <w:rPr>
        <w:lang w:val="fr-FR"/>
      </w:rPr>
    </w:pPr>
  </w:p>
  <w:p w14:paraId="6A3CB0F7" w14:textId="77777777" w:rsidR="00A262C6" w:rsidRPr="002F4496" w:rsidRDefault="00A262C6">
    <w:pPr>
      <w:pStyle w:val="Kopfzeile"/>
      <w:rPr>
        <w:lang w:val="fr-FR"/>
      </w:rPr>
    </w:pPr>
  </w:p>
  <w:p w14:paraId="6A3CB0F8" w14:textId="77777777" w:rsidR="00A262C6" w:rsidRPr="002F4496" w:rsidRDefault="00A262C6" w:rsidP="000C06C9">
    <w:pPr>
      <w:pStyle w:val="Kopfzeile"/>
      <w:tabs>
        <w:tab w:val="clear" w:pos="4536"/>
        <w:tab w:val="clear" w:pos="9072"/>
        <w:tab w:val="left" w:pos="8227"/>
      </w:tabs>
      <w:rPr>
        <w:lang w:val="fr-FR"/>
      </w:rPr>
    </w:pPr>
  </w:p>
  <w:p w14:paraId="6A3CB0F9" w14:textId="77777777" w:rsidR="00A262C6" w:rsidRPr="002F4496" w:rsidRDefault="00A262C6" w:rsidP="000C06C9">
    <w:pPr>
      <w:pStyle w:val="Kopfzeile"/>
      <w:tabs>
        <w:tab w:val="clear" w:pos="4536"/>
        <w:tab w:val="clear" w:pos="9072"/>
        <w:tab w:val="left" w:pos="8227"/>
      </w:tabs>
      <w:rPr>
        <w:lang w:val="fr-FR"/>
      </w:rPr>
    </w:pPr>
  </w:p>
  <w:p w14:paraId="6A3CB0FA" w14:textId="77777777" w:rsidR="00A262C6" w:rsidRPr="002F4496" w:rsidRDefault="00A262C6">
    <w:pPr>
      <w:pStyle w:val="Kopfzeile"/>
      <w:rPr>
        <w:lang w:val="fr-FR"/>
      </w:rPr>
    </w:pPr>
  </w:p>
  <w:p w14:paraId="6A3CB0FB" w14:textId="77777777" w:rsidR="00A262C6" w:rsidRPr="002F4496" w:rsidRDefault="00A262C6">
    <w:pPr>
      <w:pStyle w:val="Kopfzeile"/>
      <w:rPr>
        <w:lang w:val="fr-FR"/>
      </w:rPr>
    </w:pPr>
  </w:p>
  <w:p w14:paraId="6A3CB0FC" w14:textId="77777777" w:rsidR="00A262C6" w:rsidRPr="002F4496" w:rsidRDefault="00A262C6">
    <w:pPr>
      <w:pStyle w:val="Kopfzeile"/>
      <w:rPr>
        <w:lang w:val="fr-FR"/>
      </w:rPr>
    </w:pPr>
  </w:p>
  <w:p w14:paraId="6A3CB0FD" w14:textId="77777777" w:rsidR="00A262C6" w:rsidRPr="002F4496" w:rsidRDefault="00A262C6">
    <w:pPr>
      <w:pStyle w:val="Kopfzeile"/>
      <w:rPr>
        <w:lang w:val="fr-FR"/>
      </w:rPr>
    </w:pPr>
  </w:p>
  <w:p w14:paraId="6A3CB0FE" w14:textId="77777777" w:rsidR="00A262C6" w:rsidRPr="002F4496" w:rsidRDefault="00A262C6">
    <w:pPr>
      <w:pStyle w:val="Kopfzeile"/>
      <w:rPr>
        <w:highlight w:val="yellow"/>
        <w:lang w:val="fr-FR"/>
      </w:rPr>
    </w:pPr>
  </w:p>
  <w:p w14:paraId="6A3CB0FF" w14:textId="05D5FF53" w:rsidR="00A262C6" w:rsidRDefault="00A262C6">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703413"/>
    <w:multiLevelType w:val="hybridMultilevel"/>
    <w:tmpl w:val="E96092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6E5FB5"/>
    <w:multiLevelType w:val="hybridMultilevel"/>
    <w:tmpl w:val="A85447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2059C"/>
    <w:multiLevelType w:val="hybridMultilevel"/>
    <w:tmpl w:val="DFBA5C6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DDF7737"/>
    <w:multiLevelType w:val="hybridMultilevel"/>
    <w:tmpl w:val="500075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EB8731E"/>
    <w:multiLevelType w:val="hybridMultilevel"/>
    <w:tmpl w:val="A85447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EB87ECD"/>
    <w:multiLevelType w:val="hybridMultilevel"/>
    <w:tmpl w:val="3BF6A17A"/>
    <w:lvl w:ilvl="0" w:tplc="A8ECF6A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9"/>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7"/>
  </w:num>
  <w:num w:numId="14">
    <w:abstractNumId w:val="25"/>
  </w:num>
  <w:num w:numId="15">
    <w:abstractNumId w:val="10"/>
  </w:num>
  <w:num w:numId="16">
    <w:abstractNumId w:val="1"/>
  </w:num>
  <w:num w:numId="17">
    <w:abstractNumId w:val="17"/>
  </w:num>
  <w:num w:numId="18">
    <w:abstractNumId w:val="18"/>
  </w:num>
  <w:num w:numId="19">
    <w:abstractNumId w:val="20"/>
  </w:num>
  <w:num w:numId="20">
    <w:abstractNumId w:val="30"/>
  </w:num>
  <w:num w:numId="21">
    <w:abstractNumId w:val="42"/>
  </w:num>
  <w:num w:numId="22">
    <w:abstractNumId w:val="28"/>
  </w:num>
  <w:num w:numId="23">
    <w:abstractNumId w:val="9"/>
  </w:num>
  <w:num w:numId="24">
    <w:abstractNumId w:val="36"/>
  </w:num>
  <w:num w:numId="25">
    <w:abstractNumId w:val="35"/>
  </w:num>
  <w:num w:numId="26">
    <w:abstractNumId w:val="22"/>
  </w:num>
  <w:num w:numId="27">
    <w:abstractNumId w:val="39"/>
  </w:num>
  <w:num w:numId="28">
    <w:abstractNumId w:val="44"/>
  </w:num>
  <w:num w:numId="29">
    <w:abstractNumId w:val="7"/>
  </w:num>
  <w:num w:numId="30">
    <w:abstractNumId w:val="3"/>
  </w:num>
  <w:num w:numId="31">
    <w:abstractNumId w:val="24"/>
  </w:num>
  <w:num w:numId="32">
    <w:abstractNumId w:val="23"/>
  </w:num>
  <w:num w:numId="33">
    <w:abstractNumId w:val="41"/>
  </w:num>
  <w:num w:numId="34">
    <w:abstractNumId w:val="40"/>
  </w:num>
  <w:num w:numId="35">
    <w:abstractNumId w:val="11"/>
  </w:num>
  <w:num w:numId="36">
    <w:abstractNumId w:val="12"/>
  </w:num>
  <w:num w:numId="37">
    <w:abstractNumId w:val="15"/>
  </w:num>
  <w:num w:numId="38">
    <w:abstractNumId w:val="27"/>
  </w:num>
  <w:num w:numId="39">
    <w:abstractNumId w:val="32"/>
  </w:num>
  <w:num w:numId="40">
    <w:abstractNumId w:val="6"/>
  </w:num>
  <w:num w:numId="41">
    <w:abstractNumId w:val="33"/>
  </w:num>
  <w:num w:numId="42">
    <w:abstractNumId w:val="2"/>
  </w:num>
  <w:num w:numId="43">
    <w:abstractNumId w:val="13"/>
  </w:num>
  <w:num w:numId="44">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252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26ED"/>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2832"/>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059F"/>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EF0"/>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3F7"/>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6DF3"/>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443"/>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5FBE"/>
    <w:rsid w:val="004607A1"/>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3FAA"/>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57B28"/>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A74F3"/>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0F6"/>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2C6"/>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05DB"/>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96C"/>
    <w:rsid w:val="00AE4D4F"/>
    <w:rsid w:val="00AE627C"/>
    <w:rsid w:val="00AE62B0"/>
    <w:rsid w:val="00AE68A2"/>
    <w:rsid w:val="00AF0029"/>
    <w:rsid w:val="00AF0354"/>
    <w:rsid w:val="00AF1236"/>
    <w:rsid w:val="00AF38AF"/>
    <w:rsid w:val="00AF3C29"/>
    <w:rsid w:val="00AF4401"/>
    <w:rsid w:val="00AF4463"/>
    <w:rsid w:val="00AF53CB"/>
    <w:rsid w:val="00AF65C5"/>
    <w:rsid w:val="00B0360E"/>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3AB5"/>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277D"/>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C7E4E"/>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Flietext">
    <w:name w:val="Fließtext"/>
    <w:basedOn w:val="Standard"/>
    <w:qFormat/>
    <w:rsid w:val="00493FAA"/>
    <w:pPr>
      <w:spacing w:line="300" w:lineRule="exact"/>
    </w:pPr>
    <w:rPr>
      <w:rFonts w:ascii="Verdana" w:hAnsi="Verdana"/>
      <w:lang w:val="de-DE"/>
    </w:rPr>
  </w:style>
  <w:style w:type="paragraph" w:customStyle="1" w:styleId="wText">
    <w:name w:val="wText"/>
    <w:basedOn w:val="Standard"/>
    <w:uiPriority w:val="99"/>
    <w:qFormat/>
    <w:rsid w:val="00455FBE"/>
    <w:pPr>
      <w:spacing w:after="180"/>
      <w:jc w:val="both"/>
    </w:pPr>
    <w:rPr>
      <w:rFonts w:ascii="Times New Roman" w:eastAsia="MS Mincho" w:hAnsi="Times New Roman"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e038d8b-eef4-4a8e-96f8-403daa5a894a"/>
    <ds:schemaRef ds:uri="http://www.w3.org/XML/1998/namespace"/>
    <ds:schemaRef ds:uri="http://purl.org/dc/dcmitype/"/>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C7D9EAC0-E1CB-4176-9913-F43D192266AF}">
  <ds:schemaRefs>
    <ds:schemaRef ds:uri="http://schemas.openxmlformats.org/officeDocument/2006/bibliography"/>
  </ds:schemaRefs>
</ds:datastoreItem>
</file>

<file path=customXml/itemProps6.xml><?xml version="1.0" encoding="utf-8"?>
<ds:datastoreItem xmlns:ds="http://schemas.openxmlformats.org/officeDocument/2006/customXml" ds:itemID="{22BD9879-71A8-49EA-852F-F72A2C9B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6498</Words>
  <Characters>35704</Characters>
  <Application>Microsoft Office Word</Application>
  <DocSecurity>8</DocSecurity>
  <Lines>297</Lines>
  <Paragraphs>84</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42118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Frau Ann Grottke</cp:lastModifiedBy>
  <cp:revision>2</cp:revision>
  <cp:lastPrinted>2015-02-18T11:01:00Z</cp:lastPrinted>
  <dcterms:created xsi:type="dcterms:W3CDTF">2019-12-20T12:15:00Z</dcterms:created>
  <dcterms:modified xsi:type="dcterms:W3CDTF">2019-12-20T12:15:00Z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