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275AA511" w:rsidR="00B327E9" w:rsidRPr="00AB6D88" w:rsidRDefault="00074C4C" w:rsidP="00F136AD">
                <w:pPr>
                  <w:rPr>
                    <w:rStyle w:val="PlaceholderText"/>
                    <w:rFonts w:cs="Arial"/>
                  </w:rPr>
                </w:pPr>
                <w:r>
                  <w:rPr>
                    <w:rStyle w:val="PlaceholderText"/>
                    <w:rFonts w:cs="Arial"/>
                  </w:rPr>
                  <w:t>European Saving and Retail banking Group</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89E9F07" w:rsidR="00B327E9" w:rsidRPr="00AB6D88" w:rsidRDefault="002D4896"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74C4C">
                  <w:rPr>
                    <w:rFonts w:cs="Arial"/>
                  </w:rPr>
                  <w:t>Banking sector</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3F997E5A" w:rsidR="00B327E9" w:rsidRPr="00AB6D88" w:rsidRDefault="00074C4C"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37D2C333" w:rsidR="00B327E9" w:rsidRPr="00AB6D88" w:rsidRDefault="00074C4C" w:rsidP="00F136AD">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63332B81" w14:textId="02A28988" w:rsidR="00074C4C" w:rsidRPr="003F4646" w:rsidRDefault="00074C4C" w:rsidP="00074C4C">
      <w:pPr>
        <w:suppressAutoHyphens/>
        <w:rPr>
          <w:rFonts w:ascii="Garamond" w:hAnsi="Garamond"/>
          <w:kern w:val="28"/>
          <w:sz w:val="24"/>
        </w:rPr>
      </w:pPr>
      <w:permStart w:id="411981036" w:edGrp="everyone"/>
      <w:r w:rsidRPr="003F4646">
        <w:rPr>
          <w:rFonts w:ascii="Garamond" w:hAnsi="Garamond"/>
          <w:kern w:val="28"/>
          <w:sz w:val="24"/>
        </w:rPr>
        <w:t>Even though we appreciate the current efforts by the European Supervisory Authorities</w:t>
      </w:r>
      <w:r>
        <w:rPr>
          <w:rFonts w:ascii="Garamond" w:hAnsi="Garamond"/>
          <w:kern w:val="28"/>
          <w:sz w:val="24"/>
        </w:rPr>
        <w:t xml:space="preserve"> (ESAs)</w:t>
      </w:r>
      <w:r w:rsidRPr="003F4646">
        <w:rPr>
          <w:rFonts w:ascii="Garamond" w:hAnsi="Garamond"/>
          <w:kern w:val="28"/>
          <w:sz w:val="24"/>
        </w:rPr>
        <w:t xml:space="preserve"> to achieve improvements with respect to the performance scenarios and the costs, we nevertheless think that the envisaged amendments will not be able to fully solve the observed issues in the current PRIIPs-methodologies.</w:t>
      </w:r>
    </w:p>
    <w:p w14:paraId="3D18F138" w14:textId="77777777" w:rsidR="00074C4C" w:rsidRPr="003F4646" w:rsidRDefault="00074C4C" w:rsidP="00074C4C">
      <w:pPr>
        <w:suppressAutoHyphens/>
        <w:rPr>
          <w:rFonts w:ascii="Garamond" w:hAnsi="Garamond"/>
          <w:kern w:val="28"/>
          <w:sz w:val="24"/>
        </w:rPr>
      </w:pPr>
      <w:proofErr w:type="gramStart"/>
      <w:r w:rsidRPr="003F4646">
        <w:rPr>
          <w:rFonts w:ascii="Garamond" w:hAnsi="Garamond"/>
          <w:kern w:val="28"/>
          <w:sz w:val="24"/>
        </w:rPr>
        <w:t>This is why</w:t>
      </w:r>
      <w:proofErr w:type="gramEnd"/>
      <w:r w:rsidRPr="003F4646">
        <w:rPr>
          <w:rFonts w:ascii="Garamond" w:hAnsi="Garamond"/>
          <w:kern w:val="28"/>
          <w:sz w:val="24"/>
        </w:rPr>
        <w:t xml:space="preserve"> we think that only a full and comprehensive review of the PRIIPs Regulation (including Level I and Level II) is able to achieve real improvements for investors. This view is supported by article 33 paragraph 1 of the PRIIPs Regulation</w:t>
      </w:r>
      <w:r>
        <w:rPr>
          <w:rFonts w:ascii="Garamond" w:hAnsi="Garamond"/>
          <w:kern w:val="28"/>
          <w:sz w:val="24"/>
        </w:rPr>
        <w:t>,</w:t>
      </w:r>
      <w:r w:rsidRPr="003F4646">
        <w:rPr>
          <w:rFonts w:ascii="Garamond" w:hAnsi="Garamond"/>
          <w:kern w:val="28"/>
          <w:sz w:val="24"/>
        </w:rPr>
        <w:t xml:space="preserve"> whose scope clearly goes beyond a review of the PRIIPs delegated regulation (“…the Commission shall review this Regulation. The review … shall also include a survey of the practical application of the rules laid down in this Regulation…”).</w:t>
      </w:r>
    </w:p>
    <w:p w14:paraId="00EAC6C4" w14:textId="77777777" w:rsidR="00074C4C" w:rsidRPr="003F4646" w:rsidRDefault="00074C4C" w:rsidP="00074C4C">
      <w:pPr>
        <w:suppressAutoHyphens/>
        <w:rPr>
          <w:rFonts w:ascii="Garamond" w:hAnsi="Garamond"/>
          <w:kern w:val="28"/>
          <w:sz w:val="24"/>
        </w:rPr>
      </w:pPr>
      <w:r w:rsidRPr="003F4646">
        <w:rPr>
          <w:rFonts w:ascii="Garamond" w:hAnsi="Garamond"/>
          <w:kern w:val="28"/>
          <w:sz w:val="24"/>
        </w:rPr>
        <w:t>Even the ESAs state in the C</w:t>
      </w:r>
      <w:r>
        <w:rPr>
          <w:rFonts w:ascii="Garamond" w:hAnsi="Garamond"/>
          <w:kern w:val="28"/>
          <w:sz w:val="24"/>
        </w:rPr>
        <w:t xml:space="preserve">onsultation </w:t>
      </w:r>
      <w:r w:rsidRPr="003F4646">
        <w:rPr>
          <w:rFonts w:ascii="Garamond" w:hAnsi="Garamond"/>
          <w:kern w:val="28"/>
          <w:sz w:val="24"/>
        </w:rPr>
        <w:t>P</w:t>
      </w:r>
      <w:r>
        <w:rPr>
          <w:rFonts w:ascii="Garamond" w:hAnsi="Garamond"/>
          <w:kern w:val="28"/>
          <w:sz w:val="24"/>
        </w:rPr>
        <w:t>aper (CP)</w:t>
      </w:r>
      <w:r w:rsidRPr="003F4646">
        <w:rPr>
          <w:rFonts w:ascii="Garamond" w:hAnsi="Garamond"/>
          <w:kern w:val="28"/>
          <w:sz w:val="24"/>
        </w:rPr>
        <w:t xml:space="preserve"> that some of the concerns expressed by stakeholders in the past relating to performance scenarios and costs might not be entirely resolvable through a change on the level of the Delegated Regulation (“Level II”).</w:t>
      </w:r>
    </w:p>
    <w:p w14:paraId="49D80360" w14:textId="77777777" w:rsidR="00074C4C" w:rsidRPr="003F4646" w:rsidRDefault="00074C4C" w:rsidP="00074C4C">
      <w:pPr>
        <w:suppressAutoHyphens/>
        <w:rPr>
          <w:rFonts w:ascii="Garamond" w:hAnsi="Garamond"/>
          <w:kern w:val="28"/>
          <w:sz w:val="24"/>
        </w:rPr>
      </w:pPr>
      <w:r w:rsidRPr="003F4646">
        <w:rPr>
          <w:rFonts w:ascii="Garamond" w:hAnsi="Garamond"/>
          <w:kern w:val="28"/>
          <w:sz w:val="24"/>
        </w:rPr>
        <w:t>In addition, any changes to the existing methodology need to be thoroughly analysed and tested in order to see the impact on the results of a wide range of concrete products and payoff profiles. However, this is a very preliminary assessment as a detailed analysis has not been provided and, unfortunately, we will not be able to conduct sufficient testing ourselves in this short consultation period in order to be certain that the new approaches will lead to a better KID.</w:t>
      </w:r>
    </w:p>
    <w:p w14:paraId="6A3CB061" w14:textId="3082D6A9" w:rsidR="00B327E9" w:rsidRDefault="00B327E9" w:rsidP="00B327E9"/>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7B37C705" w14:textId="77777777" w:rsidR="00074C4C" w:rsidRPr="009A15B5" w:rsidRDefault="00074C4C" w:rsidP="00074C4C">
      <w:pPr>
        <w:suppressAutoHyphens/>
        <w:rPr>
          <w:rFonts w:ascii="Garamond" w:hAnsi="Garamond"/>
          <w:kern w:val="28"/>
          <w:sz w:val="24"/>
        </w:rPr>
      </w:pPr>
      <w:permStart w:id="1221819945" w:edGrp="everyone"/>
      <w:r>
        <w:rPr>
          <w:rFonts w:ascii="Garamond" w:hAnsi="Garamond"/>
          <w:kern w:val="28"/>
          <w:sz w:val="24"/>
        </w:rPr>
        <w:t>I</w:t>
      </w:r>
      <w:r w:rsidRPr="009A6586">
        <w:rPr>
          <w:rFonts w:ascii="Garamond" w:hAnsi="Garamond"/>
          <w:kern w:val="28"/>
          <w:sz w:val="24"/>
        </w:rPr>
        <w:t>n view of the increasing importance of using digital media</w:t>
      </w:r>
      <w:r>
        <w:rPr>
          <w:rFonts w:ascii="Garamond" w:hAnsi="Garamond"/>
          <w:kern w:val="28"/>
          <w:sz w:val="24"/>
        </w:rPr>
        <w:t xml:space="preserve">, we would also suggest a revision of the approach on how </w:t>
      </w:r>
      <w:r w:rsidRPr="009A6586">
        <w:rPr>
          <w:rFonts w:ascii="Garamond" w:hAnsi="Garamond"/>
          <w:kern w:val="28"/>
          <w:sz w:val="24"/>
        </w:rPr>
        <w:t xml:space="preserve">information is presented to clients. </w:t>
      </w:r>
      <w:r>
        <w:rPr>
          <w:rFonts w:ascii="Garamond" w:hAnsi="Garamond"/>
          <w:kern w:val="28"/>
          <w:sz w:val="24"/>
        </w:rPr>
        <w:t xml:space="preserve">We would like to propose that clients </w:t>
      </w:r>
      <w:r w:rsidRPr="009A6586">
        <w:rPr>
          <w:rFonts w:ascii="Garamond" w:hAnsi="Garamond"/>
          <w:kern w:val="28"/>
          <w:sz w:val="24"/>
        </w:rPr>
        <w:t>could receive information via paper versions of documents just in case they explicitly opt for such a provision, and as a standard approach, they could receive information electronically. Further support for such an approach can be seen in the European Union´s efforts for establishing the principle of sustainability within the financial industry (in this case through avoiding unnecessary paper versions). Such a change in the approach could also be taken as an opportunity to</w:t>
      </w:r>
      <w:r>
        <w:rPr>
          <w:rFonts w:ascii="Garamond" w:hAnsi="Garamond"/>
          <w:kern w:val="28"/>
          <w:sz w:val="24"/>
        </w:rPr>
        <w:t>,</w:t>
      </w:r>
      <w:r w:rsidRPr="009A6586">
        <w:rPr>
          <w:rFonts w:ascii="Garamond" w:hAnsi="Garamond"/>
          <w:kern w:val="28"/>
          <w:sz w:val="24"/>
        </w:rPr>
        <w:t xml:space="preserve"> based on PRIIPs</w:t>
      </w:r>
      <w:r>
        <w:rPr>
          <w:rFonts w:ascii="Garamond" w:hAnsi="Garamond"/>
          <w:kern w:val="28"/>
          <w:sz w:val="24"/>
        </w:rPr>
        <w:t>,</w:t>
      </w:r>
      <w:r w:rsidRPr="009A6586">
        <w:rPr>
          <w:rFonts w:ascii="Garamond" w:hAnsi="Garamond"/>
          <w:kern w:val="28"/>
          <w:sz w:val="24"/>
        </w:rPr>
        <w:t xml:space="preserve"> reverse the way of presenting information to clients also in other legislation (e.g. MiFID, IDD or UCITS).</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4A71EEF5" w14:textId="77777777" w:rsidR="00074C4C" w:rsidRPr="009A15B5" w:rsidRDefault="00074C4C" w:rsidP="00074C4C">
      <w:pPr>
        <w:suppressAutoHyphens/>
        <w:rPr>
          <w:rFonts w:ascii="Garamond" w:hAnsi="Garamond"/>
          <w:kern w:val="28"/>
          <w:sz w:val="24"/>
        </w:rPr>
      </w:pPr>
      <w:permStart w:id="729947415" w:edGrp="everyone"/>
      <w:r w:rsidRPr="009A15B5">
        <w:rPr>
          <w:rFonts w:ascii="Garamond" w:hAnsi="Garamond"/>
          <w:kern w:val="28"/>
          <w:sz w:val="24"/>
        </w:rPr>
        <w:t xml:space="preserve">No, we do not think that this would provide any benefit for market participants as we do not see any problems with the technical transmission of the KID and its respective data. </w:t>
      </w:r>
      <w:proofErr w:type="gramStart"/>
      <w:r w:rsidRPr="009A15B5">
        <w:rPr>
          <w:rFonts w:ascii="Garamond" w:hAnsi="Garamond"/>
          <w:kern w:val="28"/>
          <w:sz w:val="24"/>
        </w:rPr>
        <w:t>Sufficient</w:t>
      </w:r>
      <w:proofErr w:type="gramEnd"/>
      <w:r w:rsidRPr="009A15B5">
        <w:rPr>
          <w:rFonts w:ascii="Garamond" w:hAnsi="Garamond"/>
          <w:kern w:val="28"/>
          <w:sz w:val="24"/>
        </w:rPr>
        <w:t xml:space="preserve"> market solutions were implemented prior to 2018 in this regard. Therefore, there is no need to facilitate the reception of the KID in a machine-readable format.</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602947E1" w14:textId="77777777" w:rsidR="00074C4C" w:rsidRPr="009A15B5" w:rsidRDefault="00074C4C" w:rsidP="00074C4C">
      <w:pPr>
        <w:suppressAutoHyphens/>
        <w:rPr>
          <w:rFonts w:ascii="Garamond" w:hAnsi="Garamond"/>
          <w:kern w:val="28"/>
          <w:sz w:val="24"/>
        </w:rPr>
      </w:pPr>
      <w:permStart w:id="677205538" w:edGrp="everyone"/>
      <w:r w:rsidRPr="009A15B5">
        <w:rPr>
          <w:rFonts w:ascii="Garamond" w:hAnsi="Garamond"/>
          <w:kern w:val="28"/>
          <w:sz w:val="24"/>
        </w:rPr>
        <w:t xml:space="preserve">We refer to our introductory remarks in this regard. We have serious doubts that the proposed amendments really result in a more understandable KID, especially with respect to the performance scenarios but also the costs. This is </w:t>
      </w:r>
      <w:proofErr w:type="gramStart"/>
      <w:r w:rsidRPr="009A15B5">
        <w:rPr>
          <w:rFonts w:ascii="Garamond" w:hAnsi="Garamond"/>
          <w:kern w:val="28"/>
          <w:sz w:val="24"/>
        </w:rPr>
        <w:t>due to the fact that</w:t>
      </w:r>
      <w:proofErr w:type="gramEnd"/>
      <w:r w:rsidRPr="009A15B5">
        <w:rPr>
          <w:rFonts w:ascii="Garamond" w:hAnsi="Garamond"/>
          <w:kern w:val="28"/>
          <w:sz w:val="24"/>
        </w:rPr>
        <w:t xml:space="preserve"> it</w:t>
      </w:r>
      <w:r>
        <w:rPr>
          <w:rFonts w:ascii="Garamond" w:hAnsi="Garamond"/>
          <w:kern w:val="28"/>
          <w:sz w:val="24"/>
        </w:rPr>
        <w:t>’</w:t>
      </w:r>
      <w:r w:rsidRPr="009A15B5">
        <w:rPr>
          <w:rFonts w:ascii="Garamond" w:hAnsi="Garamond"/>
          <w:kern w:val="28"/>
          <w:sz w:val="24"/>
        </w:rPr>
        <w:t>s already foreseeable that there will not be sufficient time to analy</w:t>
      </w:r>
      <w:r>
        <w:rPr>
          <w:rFonts w:ascii="Garamond" w:hAnsi="Garamond"/>
          <w:kern w:val="28"/>
          <w:sz w:val="24"/>
        </w:rPr>
        <w:t>s</w:t>
      </w:r>
      <w:r w:rsidRPr="009A15B5">
        <w:rPr>
          <w:rFonts w:ascii="Garamond" w:hAnsi="Garamond"/>
          <w:kern w:val="28"/>
          <w:sz w:val="24"/>
        </w:rPr>
        <w:t>e and evaluate all proposed methods in full detail and conduct testing on enough products and payoff profiles. In our view, a th</w:t>
      </w:r>
      <w:r>
        <w:rPr>
          <w:rFonts w:ascii="Garamond" w:hAnsi="Garamond"/>
          <w:kern w:val="28"/>
          <w:sz w:val="24"/>
        </w:rPr>
        <w:t>ought</w:t>
      </w:r>
      <w:r w:rsidRPr="009A15B5">
        <w:rPr>
          <w:rFonts w:ascii="Garamond" w:hAnsi="Garamond"/>
          <w:kern w:val="28"/>
          <w:sz w:val="24"/>
        </w:rPr>
        <w:t xml:space="preserve"> analysis that leads to a better methodology needs time and the legislator should take the time in order to really improve the current requirements. </w:t>
      </w:r>
    </w:p>
    <w:p w14:paraId="5C2FF458" w14:textId="77777777" w:rsidR="00074C4C" w:rsidRDefault="00074C4C" w:rsidP="00074C4C">
      <w:pPr>
        <w:suppressAutoHyphens/>
        <w:rPr>
          <w:rFonts w:cs="Arial"/>
        </w:rPr>
      </w:pPr>
      <w:r>
        <w:rPr>
          <w:rFonts w:ascii="Garamond" w:hAnsi="Garamond"/>
          <w:kern w:val="28"/>
          <w:sz w:val="24"/>
        </w:rPr>
        <w:t xml:space="preserve">In order to allow a thorough review and considerable improvements of the current problems, the amendments should be aligned with the expected </w:t>
      </w:r>
      <w:r w:rsidRPr="005C5E7D">
        <w:rPr>
          <w:rFonts w:ascii="Garamond" w:hAnsi="Garamond"/>
          <w:kern w:val="28"/>
          <w:sz w:val="24"/>
        </w:rPr>
        <w:t>end of the UCITS exemption</w:t>
      </w:r>
      <w:r>
        <w:rPr>
          <w:rFonts w:ascii="Garamond" w:hAnsi="Garamond"/>
          <w:kern w:val="28"/>
          <w:sz w:val="24"/>
        </w:rPr>
        <w:t xml:space="preserve"> </w:t>
      </w:r>
      <w:r w:rsidRPr="005C5E7D">
        <w:rPr>
          <w:rFonts w:ascii="Garamond" w:hAnsi="Garamond"/>
          <w:kern w:val="28"/>
          <w:sz w:val="24"/>
        </w:rPr>
        <w:t xml:space="preserve">at the </w:t>
      </w:r>
      <w:r>
        <w:rPr>
          <w:rFonts w:ascii="Garamond" w:hAnsi="Garamond"/>
          <w:kern w:val="28"/>
          <w:sz w:val="24"/>
        </w:rPr>
        <w:t xml:space="preserve">end of 2021. </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0BDCB02B" w14:textId="77777777" w:rsidR="00074C4C" w:rsidRPr="009A15B5" w:rsidRDefault="00074C4C" w:rsidP="00074C4C">
      <w:pPr>
        <w:suppressAutoHyphens/>
        <w:rPr>
          <w:rFonts w:ascii="Garamond" w:hAnsi="Garamond"/>
          <w:kern w:val="28"/>
          <w:sz w:val="24"/>
        </w:rPr>
      </w:pPr>
      <w:permStart w:id="1220688604" w:edGrp="everyone"/>
      <w:r w:rsidRPr="009A15B5">
        <w:rPr>
          <w:rFonts w:ascii="Garamond" w:hAnsi="Garamond"/>
          <w:kern w:val="28"/>
          <w:sz w:val="24"/>
        </w:rPr>
        <w:t>We are not supportive of any graduated application of new requirements in this regard.</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lastRenderedPageBreak/>
        <w:t>&lt;ESA_QUESTION_PKID_5&gt;</w:t>
      </w:r>
    </w:p>
    <w:p w14:paraId="6354CF43" w14:textId="77777777" w:rsidR="00074C4C" w:rsidRPr="009A15B5" w:rsidRDefault="00074C4C" w:rsidP="00074C4C">
      <w:pPr>
        <w:suppressAutoHyphens/>
        <w:rPr>
          <w:rFonts w:ascii="Garamond" w:hAnsi="Garamond"/>
          <w:kern w:val="28"/>
          <w:sz w:val="24"/>
        </w:rPr>
      </w:pPr>
      <w:permStart w:id="209390932" w:edGrp="everyone"/>
      <w:r w:rsidRPr="009A15B5">
        <w:rPr>
          <w:rFonts w:ascii="Garamond" w:hAnsi="Garamond"/>
          <w:kern w:val="28"/>
          <w:sz w:val="24"/>
        </w:rPr>
        <w:t xml:space="preserve">Again, we think it is necessary to generally review both Level I and Level II since there are several issues which can only be addressed with a full PRIIPs review. In this respect, it should also be kept in mind that Art. 33 of the PRIIPs Regulation is not limited to a review of the Delegated Regulation only (cf. our introductory remarks above). In particular, the following issues should be </w:t>
      </w:r>
      <w:proofErr w:type="gramStart"/>
      <w:r w:rsidRPr="009A15B5">
        <w:rPr>
          <w:rFonts w:ascii="Garamond" w:hAnsi="Garamond"/>
          <w:kern w:val="28"/>
          <w:sz w:val="24"/>
        </w:rPr>
        <w:t>looked into</w:t>
      </w:r>
      <w:proofErr w:type="gramEnd"/>
      <w:r w:rsidRPr="009A15B5">
        <w:rPr>
          <w:rFonts w:ascii="Garamond" w:hAnsi="Garamond"/>
          <w:kern w:val="28"/>
          <w:sz w:val="24"/>
        </w:rPr>
        <w:t xml:space="preserve"> more closely:</w:t>
      </w:r>
    </w:p>
    <w:p w14:paraId="47A021F8" w14:textId="77777777" w:rsidR="00074C4C" w:rsidRPr="003F4646" w:rsidRDefault="00074C4C" w:rsidP="00074C4C">
      <w:pPr>
        <w:rPr>
          <w:rFonts w:ascii="Garamond" w:hAnsi="Garamond"/>
          <w:color w:val="FF0000"/>
          <w:sz w:val="24"/>
        </w:rPr>
      </w:pPr>
    </w:p>
    <w:p w14:paraId="6543FEC2" w14:textId="77777777" w:rsidR="00074C4C" w:rsidRPr="003F4646" w:rsidRDefault="00074C4C" w:rsidP="00074C4C">
      <w:pPr>
        <w:spacing w:line="360" w:lineRule="auto"/>
        <w:ind w:left="567"/>
        <w:rPr>
          <w:rFonts w:ascii="Garamond" w:eastAsia="Calibri" w:hAnsi="Garamond"/>
          <w:b/>
          <w:sz w:val="24"/>
          <w:lang w:eastAsia="en-US"/>
        </w:rPr>
      </w:pPr>
      <w:r w:rsidRPr="003F4646">
        <w:rPr>
          <w:rFonts w:ascii="Garamond" w:eastAsia="Calibri" w:hAnsi="Garamond"/>
          <w:b/>
          <w:sz w:val="24"/>
          <w:lang w:eastAsia="en-US"/>
        </w:rPr>
        <w:t>1. Scope of the PRIIPs-Regulation</w:t>
      </w:r>
    </w:p>
    <w:p w14:paraId="7C91463E" w14:textId="77777777" w:rsidR="00074C4C" w:rsidRPr="003F4646" w:rsidRDefault="00074C4C" w:rsidP="00074C4C">
      <w:pPr>
        <w:spacing w:line="360" w:lineRule="auto"/>
        <w:ind w:left="567"/>
        <w:rPr>
          <w:rFonts w:ascii="Garamond" w:eastAsia="Calibri" w:hAnsi="Garamond"/>
          <w:b/>
          <w:sz w:val="24"/>
          <w:lang w:eastAsia="en-US"/>
        </w:rPr>
      </w:pPr>
      <w:r w:rsidRPr="003F4646">
        <w:rPr>
          <w:rFonts w:ascii="Garamond" w:eastAsia="Calibri" w:hAnsi="Garamond"/>
          <w:b/>
          <w:sz w:val="24"/>
          <w:lang w:eastAsia="en-US"/>
        </w:rPr>
        <w:t xml:space="preserve">a) Definition of product types </w:t>
      </w:r>
    </w:p>
    <w:p w14:paraId="6C40BCB2"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 xml:space="preserve">The scope of the PRIIPs Regulation remains unclear. This not only causes uncertainty among market </w:t>
      </w:r>
      <w:proofErr w:type="gramStart"/>
      <w:r w:rsidRPr="009A15B5">
        <w:rPr>
          <w:rFonts w:ascii="Garamond" w:hAnsi="Garamond"/>
          <w:kern w:val="28"/>
          <w:sz w:val="24"/>
        </w:rPr>
        <w:t>participants</w:t>
      </w:r>
      <w:r>
        <w:rPr>
          <w:rFonts w:ascii="Garamond" w:hAnsi="Garamond"/>
          <w:kern w:val="28"/>
          <w:sz w:val="24"/>
        </w:rPr>
        <w:t>,</w:t>
      </w:r>
      <w:r w:rsidRPr="009A15B5">
        <w:rPr>
          <w:rFonts w:ascii="Garamond" w:hAnsi="Garamond"/>
          <w:kern w:val="28"/>
          <w:sz w:val="24"/>
        </w:rPr>
        <w:t xml:space="preserve"> but</w:t>
      </w:r>
      <w:proofErr w:type="gramEnd"/>
      <w:r w:rsidRPr="009A15B5">
        <w:rPr>
          <w:rFonts w:ascii="Garamond" w:hAnsi="Garamond"/>
          <w:kern w:val="28"/>
          <w:sz w:val="24"/>
        </w:rPr>
        <w:t xml:space="preserve"> has also ended up limiting the range of products offered to retail investors. This is particularly evident in the bond market. According to a study of the German market carried out by Ruhr-Universität Bochum</w:t>
      </w:r>
      <w:r w:rsidRPr="00A759D8">
        <w:rPr>
          <w:rFonts w:ascii="Garamond" w:hAnsi="Garamond"/>
          <w:kern w:val="28"/>
          <w:sz w:val="24"/>
          <w:vertAlign w:val="superscript"/>
        </w:rPr>
        <w:footnoteReference w:id="5"/>
      </w:r>
      <w:r w:rsidRPr="009A15B5">
        <w:rPr>
          <w:rFonts w:ascii="Garamond" w:hAnsi="Garamond"/>
          <w:kern w:val="28"/>
          <w:sz w:val="24"/>
        </w:rPr>
        <w:t xml:space="preserve">, almost two thirds (63.4 per cent) of the banks surveyed said that the range of products and services offered to end customers in the area of bonds was becoming increasingly limited. The study found that the product type to experience the sharpest decline in recent years was plain vanilla bonds. This is a result of the legal uncertainty as to whether certain types of bonds fall within the scope of the PRIIPs Regulation or not. </w:t>
      </w:r>
    </w:p>
    <w:p w14:paraId="0A93E264" w14:textId="77777777" w:rsidR="00074C4C" w:rsidRPr="009A15B5" w:rsidRDefault="00074C4C" w:rsidP="00074C4C">
      <w:pPr>
        <w:suppressAutoHyphens/>
        <w:rPr>
          <w:rFonts w:ascii="Garamond" w:hAnsi="Garamond"/>
          <w:kern w:val="28"/>
          <w:sz w:val="24"/>
        </w:rPr>
      </w:pPr>
    </w:p>
    <w:p w14:paraId="6660D531" w14:textId="77777777" w:rsidR="00074C4C" w:rsidRDefault="00074C4C" w:rsidP="00074C4C">
      <w:pPr>
        <w:suppressAutoHyphens/>
        <w:ind w:left="708"/>
        <w:rPr>
          <w:rFonts w:ascii="Garamond" w:hAnsi="Garamond"/>
          <w:kern w:val="28"/>
          <w:sz w:val="24"/>
        </w:rPr>
      </w:pPr>
      <w:r w:rsidRPr="009A15B5">
        <w:rPr>
          <w:rFonts w:ascii="Garamond" w:hAnsi="Garamond"/>
          <w:kern w:val="28"/>
          <w:sz w:val="24"/>
        </w:rPr>
        <w:t xml:space="preserve">Against this backdrop and with the letter of 19 July 2018 from the ESAs to the Commission (JC 2018 21) in mind, we recommend defining various product types at Level I and clearly specifying whether these fall within or outside the scope of the PRIIPs Regulation. Even if the list of product types is unlikely to be exhaustive, it would at least establish a legally enshrined set of basic principles which would make it easier for users to assess </w:t>
      </w:r>
      <w:proofErr w:type="gramStart"/>
      <w:r w:rsidRPr="009A15B5">
        <w:rPr>
          <w:rFonts w:ascii="Garamond" w:hAnsi="Garamond"/>
          <w:kern w:val="28"/>
          <w:sz w:val="24"/>
        </w:rPr>
        <w:t>whether or not</w:t>
      </w:r>
      <w:proofErr w:type="gramEnd"/>
      <w:r w:rsidRPr="009A15B5">
        <w:rPr>
          <w:rFonts w:ascii="Garamond" w:hAnsi="Garamond"/>
          <w:kern w:val="28"/>
          <w:sz w:val="24"/>
        </w:rPr>
        <w:t xml:space="preserve"> an individual product was covered by the scope. The annex to the above letter to the Commission could serve as a model for defining product types. There should be an in-depth analysis and, above all, discussion with market participants of what further product types could be identified and of whether they should be assigned to, or excluded from, the scope of the PRIIPs Regulation. </w:t>
      </w:r>
    </w:p>
    <w:p w14:paraId="2BDFA1DA" w14:textId="77777777" w:rsidR="00074C4C" w:rsidRDefault="00074C4C" w:rsidP="00074C4C">
      <w:pPr>
        <w:suppressAutoHyphens/>
        <w:ind w:left="708"/>
        <w:rPr>
          <w:rFonts w:ascii="Garamond" w:hAnsi="Garamond"/>
          <w:kern w:val="28"/>
          <w:sz w:val="24"/>
        </w:rPr>
      </w:pPr>
    </w:p>
    <w:p w14:paraId="3D50F4FF" w14:textId="77777777" w:rsidR="00074C4C" w:rsidRPr="009A15B5" w:rsidRDefault="00074C4C" w:rsidP="00074C4C">
      <w:pPr>
        <w:suppressAutoHyphens/>
        <w:rPr>
          <w:rFonts w:ascii="Garamond" w:hAnsi="Garamond"/>
          <w:kern w:val="28"/>
          <w:sz w:val="24"/>
        </w:rPr>
      </w:pPr>
    </w:p>
    <w:p w14:paraId="65D3BB71" w14:textId="77777777" w:rsidR="00074C4C" w:rsidRPr="005225F6" w:rsidRDefault="00074C4C" w:rsidP="00074C4C">
      <w:pPr>
        <w:spacing w:line="360" w:lineRule="auto"/>
        <w:ind w:left="567"/>
        <w:rPr>
          <w:rFonts w:ascii="Garamond" w:eastAsia="Calibri" w:hAnsi="Garamond"/>
          <w:b/>
          <w:sz w:val="24"/>
          <w:lang w:eastAsia="en-US"/>
        </w:rPr>
      </w:pPr>
      <w:r>
        <w:rPr>
          <w:rFonts w:ascii="Garamond" w:hAnsi="Garamond"/>
          <w:b/>
          <w:sz w:val="24"/>
        </w:rPr>
        <w:t>c</w:t>
      </w:r>
      <w:r w:rsidRPr="003F4646">
        <w:rPr>
          <w:rFonts w:ascii="Garamond" w:hAnsi="Garamond"/>
          <w:b/>
          <w:sz w:val="24"/>
        </w:rPr>
        <w:t xml:space="preserve">) Bonds </w:t>
      </w:r>
      <w:r w:rsidRPr="003F4646">
        <w:rPr>
          <w:rFonts w:ascii="Garamond" w:eastAsia="Calibri" w:hAnsi="Garamond"/>
          <w:b/>
          <w:sz w:val="24"/>
          <w:lang w:eastAsia="en-US"/>
        </w:rPr>
        <w:t>with make-whole call provisions are not a PRIIP (Article 4(1) of the PRIIPs Regulation)</w:t>
      </w:r>
    </w:p>
    <w:p w14:paraId="06CAD1F8"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One type of bond which we believe does not belong in the scope of the PRIIPs Regulation is bonds with so-called “make-whole” call provisions.</w:t>
      </w:r>
    </w:p>
    <w:p w14:paraId="2DE5CA7F" w14:textId="77777777" w:rsidR="00074C4C" w:rsidRPr="009A15B5" w:rsidRDefault="00074C4C" w:rsidP="00074C4C">
      <w:pPr>
        <w:suppressAutoHyphens/>
        <w:ind w:left="708"/>
        <w:rPr>
          <w:rFonts w:ascii="Garamond" w:hAnsi="Garamond"/>
          <w:kern w:val="28"/>
          <w:sz w:val="24"/>
        </w:rPr>
      </w:pPr>
    </w:p>
    <w:p w14:paraId="639634D7"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 xml:space="preserve">If a bond has a make-whole call provision, the issuer has the right, subject to a notice period, to call the bond in whole or in part at the make-whole price at any time before its maturity. The make-whole price is intended to ensure that, in the event of a call, bondholders will receive the current value of their bonds, or at least their nominal value. In other words, they will not be in a worse position than if they had sold their bonds on the market at that point in time. </w:t>
      </w:r>
    </w:p>
    <w:p w14:paraId="1475F99E" w14:textId="77777777" w:rsidR="00074C4C" w:rsidRPr="009A15B5" w:rsidRDefault="00074C4C" w:rsidP="00074C4C">
      <w:pPr>
        <w:suppressAutoHyphens/>
        <w:ind w:left="708"/>
        <w:rPr>
          <w:rFonts w:ascii="Garamond" w:hAnsi="Garamond"/>
          <w:kern w:val="28"/>
          <w:sz w:val="24"/>
        </w:rPr>
      </w:pPr>
    </w:p>
    <w:p w14:paraId="0CF5F041"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lastRenderedPageBreak/>
        <w:t>When it comes to determining whether securities of this kind are covered by the scope of the PRIIPs Regulation, it should be borne in mind that the definition of “PRIIP” under Article 4(1) of the regulation specifies two elements, both of which must be present in order for a product to qualify as a PRIIP. First, the amount to be repaid must be subject to fluctuations because it depends on reference values or the performance of one or more assets (in a consultation on basic issues surrounding the regulation at the end of 2010, the European Commission described this as the necessary “investment element”). Second, the assets in question must not have been directly purchased by the investor (“packaging, structuring or engineering element”).</w:t>
      </w:r>
    </w:p>
    <w:p w14:paraId="520E9686" w14:textId="77777777" w:rsidR="00074C4C" w:rsidRPr="009A15B5" w:rsidRDefault="00074C4C" w:rsidP="00074C4C">
      <w:pPr>
        <w:suppressAutoHyphens/>
        <w:ind w:left="708"/>
        <w:rPr>
          <w:rFonts w:ascii="Garamond" w:hAnsi="Garamond"/>
          <w:kern w:val="28"/>
          <w:sz w:val="24"/>
        </w:rPr>
      </w:pPr>
    </w:p>
    <w:p w14:paraId="14B17344"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 xml:space="preserve">The element of fluctuation is most certainly absent from the design of a bond with a make-whole call provision. The payment of the make-whole amount to investors affected by a call is intended to prevent them from suffering an economic disadvantage </w:t>
      </w:r>
      <w:proofErr w:type="gramStart"/>
      <w:r w:rsidRPr="009A15B5">
        <w:rPr>
          <w:rFonts w:ascii="Garamond" w:hAnsi="Garamond"/>
          <w:kern w:val="28"/>
          <w:sz w:val="24"/>
        </w:rPr>
        <w:t>as a consequence of</w:t>
      </w:r>
      <w:proofErr w:type="gramEnd"/>
      <w:r w:rsidRPr="009A15B5">
        <w:rPr>
          <w:rFonts w:ascii="Garamond" w:hAnsi="Garamond"/>
          <w:kern w:val="28"/>
          <w:sz w:val="24"/>
        </w:rPr>
        <w:t xml:space="preserve"> the call by paying them at least the nominal amount, and possibly compensation in excess of this amount. Even if there are differences in the precise detail of the calculation method used, the amount paid is intended to reflect the current value of the securities on the call date. It is true that this amount is determined, among other things, by reference to the yield on government bonds with a comparable maturity. Essentially, however, the point is to determine the value of the relevant bond itself: external factors such as the </w:t>
      </w:r>
      <w:proofErr w:type="gramStart"/>
      <w:r w:rsidRPr="009A15B5">
        <w:rPr>
          <w:rFonts w:ascii="Garamond" w:hAnsi="Garamond"/>
          <w:kern w:val="28"/>
          <w:sz w:val="24"/>
        </w:rPr>
        <w:t>aforementioned government</w:t>
      </w:r>
      <w:proofErr w:type="gramEnd"/>
      <w:r w:rsidRPr="009A15B5">
        <w:rPr>
          <w:rFonts w:ascii="Garamond" w:hAnsi="Garamond"/>
          <w:kern w:val="28"/>
          <w:sz w:val="24"/>
        </w:rPr>
        <w:t xml:space="preserve"> bonds are used merely to help make this valuation. It is therefore not a matter of tying the value to external reference values, but of calculating the intrinsic value of the financial instrument itself, making reference to external parameters only for the purpose of carrying out this calculation (as, in certain cases, even if required by law, the amount of compensation payments for shares is determined).</w:t>
      </w:r>
    </w:p>
    <w:p w14:paraId="769FB059" w14:textId="77777777" w:rsidR="00074C4C" w:rsidRPr="003F4646" w:rsidRDefault="00074C4C" w:rsidP="00074C4C">
      <w:pPr>
        <w:rPr>
          <w:rFonts w:ascii="Garamond" w:hAnsi="Garamond"/>
          <w:color w:val="FF0000"/>
          <w:sz w:val="24"/>
        </w:rPr>
      </w:pPr>
    </w:p>
    <w:p w14:paraId="673D2C75" w14:textId="77777777" w:rsidR="00074C4C" w:rsidRPr="003F4646" w:rsidRDefault="00074C4C" w:rsidP="00074C4C">
      <w:pPr>
        <w:spacing w:line="360" w:lineRule="auto"/>
        <w:ind w:left="567"/>
        <w:rPr>
          <w:rFonts w:ascii="Garamond" w:eastAsia="Calibri" w:hAnsi="Garamond"/>
          <w:b/>
          <w:sz w:val="24"/>
          <w:lang w:eastAsia="en-US"/>
        </w:rPr>
      </w:pPr>
      <w:r w:rsidRPr="003F4646">
        <w:rPr>
          <w:rFonts w:ascii="Garamond" w:eastAsia="Calibri" w:hAnsi="Garamond"/>
          <w:b/>
          <w:sz w:val="24"/>
          <w:lang w:eastAsia="en-US"/>
        </w:rPr>
        <w:t>2.</w:t>
      </w:r>
      <w:r w:rsidRPr="003F4646">
        <w:rPr>
          <w:rFonts w:ascii="Garamond" w:eastAsia="Calibri" w:hAnsi="Garamond"/>
          <w:b/>
          <w:sz w:val="24"/>
          <w:lang w:eastAsia="en-US"/>
        </w:rPr>
        <w:tab/>
        <w:t>Presentation of costs</w:t>
      </w:r>
    </w:p>
    <w:p w14:paraId="30DF7486" w14:textId="77777777" w:rsidR="00074C4C" w:rsidRPr="003F4646" w:rsidRDefault="00074C4C" w:rsidP="00074C4C">
      <w:pPr>
        <w:spacing w:line="360" w:lineRule="auto"/>
        <w:ind w:left="567"/>
        <w:rPr>
          <w:rFonts w:ascii="Garamond" w:eastAsia="Calibri" w:hAnsi="Garamond"/>
          <w:b/>
          <w:sz w:val="24"/>
          <w:lang w:eastAsia="en-US"/>
        </w:rPr>
      </w:pPr>
      <w:r w:rsidRPr="003F4646">
        <w:rPr>
          <w:rFonts w:ascii="Garamond" w:eastAsia="Calibri" w:hAnsi="Garamond"/>
          <w:b/>
          <w:sz w:val="24"/>
          <w:lang w:eastAsia="en-US"/>
        </w:rPr>
        <w:t>a)</w:t>
      </w:r>
      <w:r w:rsidRPr="003F4646">
        <w:rPr>
          <w:rFonts w:ascii="Garamond" w:eastAsia="Calibri" w:hAnsi="Garamond"/>
          <w:b/>
          <w:sz w:val="24"/>
          <w:lang w:eastAsia="en-US"/>
        </w:rPr>
        <w:tab/>
      </w:r>
      <w:r>
        <w:rPr>
          <w:rFonts w:ascii="Garamond" w:eastAsia="Calibri" w:hAnsi="Garamond"/>
          <w:b/>
          <w:sz w:val="24"/>
          <w:lang w:eastAsia="en-US"/>
        </w:rPr>
        <w:t xml:space="preserve">Harmonisation </w:t>
      </w:r>
      <w:r w:rsidRPr="003F4646">
        <w:rPr>
          <w:rFonts w:ascii="Garamond" w:eastAsia="Calibri" w:hAnsi="Garamond"/>
          <w:b/>
          <w:sz w:val="24"/>
          <w:lang w:eastAsia="en-US"/>
        </w:rPr>
        <w:t>of legislation such as MiFID II and the PRIIPs Regulation</w:t>
      </w:r>
    </w:p>
    <w:p w14:paraId="0786015D" w14:textId="77777777" w:rsidR="00074C4C" w:rsidRDefault="00074C4C" w:rsidP="00074C4C">
      <w:pPr>
        <w:suppressAutoHyphens/>
        <w:ind w:left="708"/>
        <w:rPr>
          <w:rFonts w:ascii="Garamond" w:hAnsi="Garamond"/>
          <w:kern w:val="28"/>
          <w:sz w:val="24"/>
        </w:rPr>
      </w:pPr>
      <w:r w:rsidRPr="00371C11">
        <w:rPr>
          <w:rFonts w:ascii="Garamond" w:hAnsi="Garamond"/>
          <w:kern w:val="28"/>
          <w:sz w:val="24"/>
        </w:rPr>
        <w:t xml:space="preserve">The future amendments to the PRIIPs regulation could be used to remove existing differences between the provision of information on costs of financial products according to PRIIPs and MiFID II. </w:t>
      </w:r>
      <w:r>
        <w:rPr>
          <w:rFonts w:ascii="Garamond" w:hAnsi="Garamond"/>
          <w:kern w:val="28"/>
          <w:sz w:val="24"/>
        </w:rPr>
        <w:t>E</w:t>
      </w:r>
      <w:r w:rsidRPr="00371C11">
        <w:rPr>
          <w:rFonts w:ascii="Garamond" w:hAnsi="Garamond"/>
          <w:kern w:val="28"/>
          <w:sz w:val="24"/>
        </w:rPr>
        <w:t xml:space="preserve">.g., both legal bases use the wording </w:t>
      </w:r>
      <w:r>
        <w:rPr>
          <w:rFonts w:ascii="Garamond" w:hAnsi="Garamond"/>
          <w:kern w:val="28"/>
          <w:sz w:val="24"/>
        </w:rPr>
        <w:t>‘</w:t>
      </w:r>
      <w:r w:rsidRPr="00371C11">
        <w:rPr>
          <w:rFonts w:ascii="Garamond" w:hAnsi="Garamond"/>
          <w:kern w:val="28"/>
          <w:sz w:val="24"/>
        </w:rPr>
        <w:t>total cost</w:t>
      </w:r>
      <w:r>
        <w:rPr>
          <w:rFonts w:ascii="Garamond" w:hAnsi="Garamond"/>
          <w:kern w:val="28"/>
          <w:sz w:val="24"/>
        </w:rPr>
        <w:t>’</w:t>
      </w:r>
      <w:r w:rsidRPr="00371C11">
        <w:rPr>
          <w:rFonts w:ascii="Garamond" w:hAnsi="Garamond"/>
          <w:kern w:val="28"/>
          <w:sz w:val="24"/>
        </w:rPr>
        <w:t>, but they provide different results on the same financial instrument, as the total costs according to PRIIPs just refer to product costs and the total costs according to MiFID II refer to service costs and product costs. To avoid further confusion amongst clients, we strongly suggest differentiating these wordings and to use different wordings in the context of PRIIPs and in the context of MiFID.</w:t>
      </w:r>
    </w:p>
    <w:p w14:paraId="3AEF079B" w14:textId="77777777" w:rsidR="00074C4C" w:rsidRDefault="00074C4C" w:rsidP="00074C4C">
      <w:pPr>
        <w:suppressAutoHyphens/>
        <w:ind w:left="708"/>
        <w:rPr>
          <w:rFonts w:ascii="Garamond" w:hAnsi="Garamond"/>
          <w:kern w:val="28"/>
          <w:sz w:val="24"/>
        </w:rPr>
      </w:pPr>
    </w:p>
    <w:p w14:paraId="7F038F56" w14:textId="77777777" w:rsidR="00074C4C" w:rsidRPr="009A15B5" w:rsidRDefault="00074C4C" w:rsidP="00074C4C">
      <w:pPr>
        <w:suppressAutoHyphens/>
        <w:ind w:left="708"/>
        <w:rPr>
          <w:rFonts w:ascii="Garamond" w:hAnsi="Garamond"/>
          <w:kern w:val="28"/>
          <w:sz w:val="24"/>
        </w:rPr>
      </w:pPr>
      <w:r>
        <w:rPr>
          <w:rFonts w:ascii="Garamond" w:hAnsi="Garamond"/>
          <w:kern w:val="28"/>
          <w:sz w:val="24"/>
        </w:rPr>
        <w:t>Furthermore, t</w:t>
      </w:r>
      <w:r w:rsidRPr="009A15B5">
        <w:rPr>
          <w:rFonts w:ascii="Garamond" w:hAnsi="Garamond"/>
          <w:kern w:val="28"/>
          <w:sz w:val="24"/>
        </w:rPr>
        <w:t xml:space="preserve">he treatment of inducements </w:t>
      </w:r>
      <w:r>
        <w:rPr>
          <w:rFonts w:ascii="Garamond" w:hAnsi="Garamond"/>
          <w:kern w:val="28"/>
          <w:sz w:val="24"/>
        </w:rPr>
        <w:t xml:space="preserve">also </w:t>
      </w:r>
      <w:r w:rsidRPr="009A15B5">
        <w:rPr>
          <w:rFonts w:ascii="Garamond" w:hAnsi="Garamond"/>
          <w:kern w:val="28"/>
          <w:sz w:val="24"/>
        </w:rPr>
        <w:t xml:space="preserve">differs. While product costs </w:t>
      </w:r>
      <w:proofErr w:type="gramStart"/>
      <w:r w:rsidRPr="009A15B5">
        <w:rPr>
          <w:rFonts w:ascii="Garamond" w:hAnsi="Garamond"/>
          <w:kern w:val="28"/>
          <w:sz w:val="24"/>
        </w:rPr>
        <w:t>have to</w:t>
      </w:r>
      <w:proofErr w:type="gramEnd"/>
      <w:r w:rsidRPr="009A15B5">
        <w:rPr>
          <w:rFonts w:ascii="Garamond" w:hAnsi="Garamond"/>
          <w:kern w:val="28"/>
          <w:sz w:val="24"/>
        </w:rPr>
        <w:t xml:space="preserve"> be presented under the PRIIPs Regulation inclusive of inducements, inducements are classed as service costs under MiFID II, so product costs are exclusive of inducements</w:t>
      </w:r>
      <w:r w:rsidRPr="00A759D8">
        <w:rPr>
          <w:rFonts w:ascii="Garamond" w:hAnsi="Garamond"/>
          <w:kern w:val="28"/>
          <w:sz w:val="24"/>
          <w:vertAlign w:val="superscript"/>
        </w:rPr>
        <w:footnoteReference w:id="6"/>
      </w:r>
      <w:r>
        <w:rPr>
          <w:rFonts w:ascii="Garamond" w:hAnsi="Garamond"/>
          <w:kern w:val="28"/>
          <w:sz w:val="24"/>
        </w:rPr>
        <w:t>.</w:t>
      </w:r>
    </w:p>
    <w:p w14:paraId="469EC1C4" w14:textId="77777777" w:rsidR="00074C4C" w:rsidRPr="009A15B5" w:rsidRDefault="00074C4C" w:rsidP="00074C4C">
      <w:pPr>
        <w:suppressAutoHyphens/>
        <w:ind w:left="708"/>
        <w:rPr>
          <w:rFonts w:ascii="Garamond" w:hAnsi="Garamond"/>
          <w:kern w:val="28"/>
          <w:sz w:val="24"/>
        </w:rPr>
      </w:pPr>
    </w:p>
    <w:p w14:paraId="537C48DB"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 xml:space="preserve">For clients, this means that they are provided with differing product costs for the same product (if it is both a PRIIP and a financial instrument under MiFID II), even if the information in both cases is based on the same investment amount of €10,000. </w:t>
      </w:r>
      <w:r>
        <w:rPr>
          <w:rFonts w:ascii="Garamond" w:hAnsi="Garamond"/>
          <w:kern w:val="28"/>
          <w:sz w:val="24"/>
        </w:rPr>
        <w:t xml:space="preserve">For example, at </w:t>
      </w:r>
      <w:r w:rsidRPr="009A15B5">
        <w:rPr>
          <w:rFonts w:ascii="Garamond" w:hAnsi="Garamond"/>
          <w:kern w:val="28"/>
          <w:sz w:val="24"/>
        </w:rPr>
        <w:t xml:space="preserve">a large German bank, the same product recommended for an investment of €10,000 was </w:t>
      </w:r>
      <w:r w:rsidRPr="009A15B5">
        <w:rPr>
          <w:rFonts w:ascii="Garamond" w:hAnsi="Garamond"/>
          <w:kern w:val="28"/>
          <w:sz w:val="24"/>
        </w:rPr>
        <w:lastRenderedPageBreak/>
        <w:t xml:space="preserve">shown to have product costs of €246.28 or 1.38% p.a. in accordance with the PRIIPs Regulation and product costs of €111.27 or 0.56% p.a. as calculated under MiFID II. </w:t>
      </w:r>
    </w:p>
    <w:p w14:paraId="6203CC6D" w14:textId="77777777" w:rsidR="00074C4C" w:rsidRPr="009A15B5" w:rsidRDefault="00074C4C" w:rsidP="00074C4C">
      <w:pPr>
        <w:suppressAutoHyphens/>
        <w:ind w:left="708"/>
        <w:rPr>
          <w:rFonts w:ascii="Garamond" w:hAnsi="Garamond"/>
          <w:kern w:val="28"/>
          <w:sz w:val="24"/>
        </w:rPr>
      </w:pPr>
    </w:p>
    <w:p w14:paraId="46C66DC1"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 xml:space="preserve">This discrepancy, which </w:t>
      </w:r>
      <w:proofErr w:type="gramStart"/>
      <w:r w:rsidRPr="009A15B5">
        <w:rPr>
          <w:rFonts w:ascii="Garamond" w:hAnsi="Garamond"/>
          <w:kern w:val="28"/>
          <w:sz w:val="24"/>
        </w:rPr>
        <w:t>has to</w:t>
      </w:r>
      <w:proofErr w:type="gramEnd"/>
      <w:r w:rsidRPr="009A15B5">
        <w:rPr>
          <w:rFonts w:ascii="Garamond" w:hAnsi="Garamond"/>
          <w:kern w:val="28"/>
          <w:sz w:val="24"/>
        </w:rPr>
        <w:t xml:space="preserve"> be explained to clients and is difficult for them to understand, is a result of contradictory calculation requirements in EU legislation. In future legislative processes it should be ensured that thematically related legislative projects are better coordinated with one another. This applies especially to the upcoming reviews of MiFID II and the PRIIPs Regulation, </w:t>
      </w:r>
      <w:proofErr w:type="gramStart"/>
      <w:r w:rsidRPr="009A15B5">
        <w:rPr>
          <w:rFonts w:ascii="Garamond" w:hAnsi="Garamond"/>
          <w:kern w:val="28"/>
          <w:sz w:val="24"/>
        </w:rPr>
        <w:t>and also</w:t>
      </w:r>
      <w:proofErr w:type="gramEnd"/>
      <w:r w:rsidRPr="009A15B5">
        <w:rPr>
          <w:rFonts w:ascii="Garamond" w:hAnsi="Garamond"/>
          <w:kern w:val="28"/>
          <w:sz w:val="24"/>
        </w:rPr>
        <w:t xml:space="preserve"> to the work on the various sustainability projects currently underway. The aim should be to use uniformly defined terms in all legislative texts and to take account of possible interaction.</w:t>
      </w:r>
    </w:p>
    <w:p w14:paraId="456D5E21" w14:textId="77777777" w:rsidR="00074C4C" w:rsidRPr="009A15B5" w:rsidRDefault="00074C4C" w:rsidP="00074C4C">
      <w:pPr>
        <w:suppressAutoHyphens/>
        <w:ind w:left="708"/>
        <w:rPr>
          <w:rFonts w:ascii="Garamond" w:hAnsi="Garamond"/>
          <w:kern w:val="28"/>
          <w:sz w:val="24"/>
        </w:rPr>
      </w:pPr>
    </w:p>
    <w:p w14:paraId="0FC0E9BD"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A possible solution to the problem of reconciling the PRIIPs Regulation and the Delegated Regulation with MiFID II would be to dispense with the presentation of costs in the KID if the product in question was a financial instrument within the meaning of MIFID II. This would avoid giving clients contradictory information while nevertheless informing them about the costs in accordance with the requirements of MiFID II.</w:t>
      </w:r>
    </w:p>
    <w:p w14:paraId="76D3B1A7" w14:textId="77777777" w:rsidR="00074C4C" w:rsidRPr="003F4646" w:rsidRDefault="00074C4C" w:rsidP="00074C4C">
      <w:pPr>
        <w:rPr>
          <w:rFonts w:ascii="Garamond" w:hAnsi="Garamond"/>
          <w:color w:val="FF0000"/>
          <w:sz w:val="24"/>
        </w:rPr>
      </w:pPr>
    </w:p>
    <w:p w14:paraId="32534423" w14:textId="77777777" w:rsidR="00074C4C" w:rsidRPr="003F4646" w:rsidRDefault="00074C4C" w:rsidP="00074C4C">
      <w:pPr>
        <w:spacing w:line="360" w:lineRule="auto"/>
        <w:ind w:left="567"/>
        <w:rPr>
          <w:rFonts w:ascii="Garamond" w:eastAsia="Calibri" w:hAnsi="Garamond"/>
          <w:b/>
          <w:sz w:val="24"/>
          <w:lang w:eastAsia="en-US"/>
        </w:rPr>
      </w:pPr>
      <w:r w:rsidRPr="003F4646">
        <w:rPr>
          <w:rFonts w:ascii="Garamond" w:eastAsia="Calibri" w:hAnsi="Garamond"/>
          <w:b/>
          <w:sz w:val="24"/>
          <w:lang w:eastAsia="en-US"/>
        </w:rPr>
        <w:t>3.</w:t>
      </w:r>
      <w:r w:rsidRPr="003F4646">
        <w:rPr>
          <w:rFonts w:ascii="Garamond" w:eastAsia="Calibri" w:hAnsi="Garamond"/>
          <w:b/>
          <w:sz w:val="24"/>
          <w:lang w:eastAsia="en-US"/>
        </w:rPr>
        <w:tab/>
        <w:t>OTC derivatives</w:t>
      </w:r>
    </w:p>
    <w:p w14:paraId="3F69BEEB"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Numerous requirements in the PRIIPs Regulation are not tailored to the special features of OTC derivatives. Should OTC derivatives remain within the scope of the PRIIPs Regulation, we therefore suggest a review of the Level II presentation and content requirements for KIDs geared to the specificities of OTC derivatives. Ultimately, at any rate, the Delegated Regulation should set best-fit requirements for OTC derivatives.</w:t>
      </w:r>
    </w:p>
    <w:p w14:paraId="56CE0CCB" w14:textId="77777777" w:rsidR="00074C4C" w:rsidRPr="009A15B5" w:rsidRDefault="00074C4C" w:rsidP="00074C4C">
      <w:pPr>
        <w:suppressAutoHyphens/>
        <w:ind w:left="708"/>
        <w:rPr>
          <w:rFonts w:ascii="Garamond" w:hAnsi="Garamond"/>
          <w:kern w:val="28"/>
          <w:sz w:val="24"/>
        </w:rPr>
      </w:pPr>
    </w:p>
    <w:p w14:paraId="39CDB644"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The ESAs have in the meantime expressly stated under point 4 of the section headed “Derivatives” in the current 19 July 2018 version of their Q&amp;A on the PRIIPS Key Information Document (KID) (JC 2017 49)</w:t>
      </w:r>
      <w:r>
        <w:rPr>
          <w:rFonts w:ascii="Garamond" w:hAnsi="Garamond"/>
          <w:kern w:val="28"/>
          <w:sz w:val="24"/>
        </w:rPr>
        <w:t>,</w:t>
      </w:r>
      <w:r w:rsidRPr="009A15B5">
        <w:rPr>
          <w:rFonts w:ascii="Garamond" w:hAnsi="Garamond"/>
          <w:kern w:val="28"/>
          <w:sz w:val="24"/>
        </w:rPr>
        <w:t xml:space="preserve"> that the requirements in the Delegated Regulation do not fit many OTC derivatives and that adopting the Level II requirements may lead to clients misunderstanding products. They therefore allow derogation from the Level II requirements in certain cases. The ESAs say:</w:t>
      </w:r>
      <w:r>
        <w:rPr>
          <w:rFonts w:ascii="Garamond" w:hAnsi="Garamond"/>
          <w:kern w:val="28"/>
          <w:sz w:val="24"/>
        </w:rPr>
        <w:t xml:space="preserve"> ‘</w:t>
      </w:r>
      <w:r w:rsidRPr="009A15B5">
        <w:rPr>
          <w:rFonts w:ascii="Garamond" w:hAnsi="Garamond"/>
          <w:kern w:val="28"/>
          <w:sz w:val="24"/>
        </w:rPr>
        <w:t>Nonetheless, in view of the heterogeneity of PRIIP products, cases might occur where the verbatim use of the prescribed wording creates a risk that the retail investor will be misinformed about the characteristics of the product. It is recognized that this is the case for some of the specific prescribed texts when applied to swaps and similar OTC derivative products</w:t>
      </w:r>
      <w:r>
        <w:rPr>
          <w:rFonts w:ascii="Garamond" w:hAnsi="Garamond"/>
          <w:kern w:val="28"/>
          <w:sz w:val="24"/>
        </w:rPr>
        <w:t>,</w:t>
      </w:r>
      <w:r w:rsidRPr="009A15B5">
        <w:rPr>
          <w:rFonts w:ascii="Garamond" w:hAnsi="Garamond"/>
          <w:kern w:val="28"/>
          <w:sz w:val="24"/>
        </w:rPr>
        <w:t xml:space="preserve"> which do not require initial payments. In this specific case, it is considered appropriate to adjust the text</w:t>
      </w:r>
      <w:r>
        <w:rPr>
          <w:rFonts w:ascii="Garamond" w:hAnsi="Garamond"/>
          <w:kern w:val="28"/>
          <w:sz w:val="24"/>
        </w:rPr>
        <w:t>.</w:t>
      </w:r>
    </w:p>
    <w:p w14:paraId="23D62579" w14:textId="77777777" w:rsidR="00074C4C" w:rsidRPr="009A15B5" w:rsidRDefault="00074C4C" w:rsidP="00074C4C">
      <w:pPr>
        <w:suppressAutoHyphens/>
        <w:ind w:left="708"/>
        <w:rPr>
          <w:rFonts w:ascii="Garamond" w:hAnsi="Garamond"/>
          <w:kern w:val="28"/>
          <w:sz w:val="24"/>
        </w:rPr>
      </w:pPr>
    </w:p>
    <w:p w14:paraId="69685378"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 xml:space="preserve">For certain cases, the ESAs prescribe appropriate wording in the Q&amp;A that may be used instead in the KID. These include </w:t>
      </w:r>
      <w:proofErr w:type="gramStart"/>
      <w:r w:rsidRPr="009A15B5">
        <w:rPr>
          <w:rFonts w:ascii="Garamond" w:hAnsi="Garamond"/>
          <w:kern w:val="28"/>
          <w:sz w:val="24"/>
        </w:rPr>
        <w:t>in particular the</w:t>
      </w:r>
      <w:proofErr w:type="gramEnd"/>
      <w:r w:rsidRPr="009A15B5">
        <w:rPr>
          <w:rFonts w:ascii="Garamond" w:hAnsi="Garamond"/>
          <w:kern w:val="28"/>
          <w:sz w:val="24"/>
        </w:rPr>
        <w:t xml:space="preserve"> following cases that all relate to the fact that OTC derivatives are not investment products within the meaning of the PRIIPs Regulation:</w:t>
      </w:r>
    </w:p>
    <w:p w14:paraId="62570B7E" w14:textId="77777777" w:rsidR="00074C4C" w:rsidRPr="003F4646" w:rsidRDefault="00074C4C" w:rsidP="00074C4C">
      <w:pPr>
        <w:rPr>
          <w:rFonts w:ascii="Garamond" w:hAnsi="Garamond"/>
          <w:sz w:val="24"/>
        </w:rPr>
      </w:pPr>
    </w:p>
    <w:p w14:paraId="4060C600" w14:textId="77777777" w:rsidR="00074C4C" w:rsidRPr="003F4646" w:rsidRDefault="00074C4C" w:rsidP="00074C4C">
      <w:pPr>
        <w:numPr>
          <w:ilvl w:val="0"/>
          <w:numId w:val="48"/>
        </w:numPr>
        <w:spacing w:line="320" w:lineRule="atLeast"/>
        <w:rPr>
          <w:rFonts w:ascii="Garamond" w:hAnsi="Garamond"/>
          <w:sz w:val="24"/>
        </w:rPr>
      </w:pPr>
      <w:r w:rsidRPr="003F4646">
        <w:rPr>
          <w:rFonts w:ascii="Garamond" w:hAnsi="Garamond"/>
          <w:sz w:val="24"/>
        </w:rPr>
        <w:t>Replacing the term “investment” or “amount invested” by “nominal amount”</w:t>
      </w:r>
    </w:p>
    <w:p w14:paraId="5B98D70C" w14:textId="77777777" w:rsidR="00074C4C" w:rsidRPr="003F4646" w:rsidRDefault="00074C4C" w:rsidP="00074C4C">
      <w:pPr>
        <w:numPr>
          <w:ilvl w:val="0"/>
          <w:numId w:val="48"/>
        </w:numPr>
        <w:spacing w:line="320" w:lineRule="atLeast"/>
        <w:rPr>
          <w:rFonts w:ascii="Garamond" w:hAnsi="Garamond"/>
          <w:sz w:val="24"/>
        </w:rPr>
      </w:pPr>
      <w:r w:rsidRPr="003F4646">
        <w:rPr>
          <w:rFonts w:ascii="Garamond" w:hAnsi="Garamond"/>
          <w:sz w:val="24"/>
        </w:rPr>
        <w:t>Replacing “how much you get back” by “the performance of your product”</w:t>
      </w:r>
    </w:p>
    <w:p w14:paraId="117EDA87" w14:textId="77777777" w:rsidR="00074C4C" w:rsidRPr="003F4646" w:rsidRDefault="00074C4C" w:rsidP="00074C4C">
      <w:pPr>
        <w:numPr>
          <w:ilvl w:val="0"/>
          <w:numId w:val="48"/>
        </w:numPr>
        <w:spacing w:line="320" w:lineRule="atLeast"/>
        <w:rPr>
          <w:rFonts w:ascii="Garamond" w:hAnsi="Garamond"/>
          <w:sz w:val="24"/>
        </w:rPr>
      </w:pPr>
      <w:r w:rsidRPr="003F4646">
        <w:rPr>
          <w:rFonts w:ascii="Garamond" w:hAnsi="Garamond"/>
          <w:sz w:val="24"/>
        </w:rPr>
        <w:t>Replacing reference to the fact that “you could lose some or all of your investment” by reference to the fact that “you could incur significant losses”.</w:t>
      </w:r>
    </w:p>
    <w:p w14:paraId="4A92277D" w14:textId="77777777" w:rsidR="00074C4C" w:rsidRPr="003F4646" w:rsidRDefault="00074C4C" w:rsidP="00074C4C">
      <w:pPr>
        <w:rPr>
          <w:rFonts w:ascii="Garamond" w:hAnsi="Garamond"/>
          <w:sz w:val="24"/>
        </w:rPr>
      </w:pPr>
    </w:p>
    <w:p w14:paraId="6401B3F6"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lastRenderedPageBreak/>
        <w:t xml:space="preserve">However, this can, at best, merely be a temporary solution for manufacturers of OTC derivatives. </w:t>
      </w:r>
      <w:proofErr w:type="gramStart"/>
      <w:r w:rsidRPr="009A15B5">
        <w:rPr>
          <w:rFonts w:ascii="Garamond" w:hAnsi="Garamond"/>
          <w:kern w:val="28"/>
          <w:sz w:val="24"/>
        </w:rPr>
        <w:t>With regard to</w:t>
      </w:r>
      <w:proofErr w:type="gramEnd"/>
      <w:r w:rsidRPr="009A15B5">
        <w:rPr>
          <w:rFonts w:ascii="Garamond" w:hAnsi="Garamond"/>
          <w:kern w:val="28"/>
          <w:sz w:val="24"/>
        </w:rPr>
        <w:t xml:space="preserve"> the problems caused by the current requirements that are tailored to investment products, the legislator should clarify in the review that PRIIPs only applies to investment products and not products for hedging purposes. </w:t>
      </w:r>
    </w:p>
    <w:p w14:paraId="3061BE22" w14:textId="77777777" w:rsidR="00074C4C" w:rsidRPr="009A15B5" w:rsidRDefault="00074C4C" w:rsidP="00074C4C">
      <w:pPr>
        <w:suppressAutoHyphens/>
        <w:ind w:left="708"/>
        <w:rPr>
          <w:rFonts w:ascii="Garamond" w:hAnsi="Garamond"/>
          <w:kern w:val="28"/>
          <w:sz w:val="24"/>
        </w:rPr>
      </w:pPr>
    </w:p>
    <w:p w14:paraId="30C7E90E" w14:textId="77777777" w:rsidR="00074C4C" w:rsidRPr="009A15B5" w:rsidRDefault="00074C4C" w:rsidP="00074C4C">
      <w:pPr>
        <w:suppressAutoHyphens/>
        <w:ind w:left="708"/>
        <w:rPr>
          <w:rFonts w:ascii="Garamond" w:hAnsi="Garamond"/>
          <w:kern w:val="28"/>
          <w:sz w:val="24"/>
        </w:rPr>
      </w:pPr>
      <w:r w:rsidRPr="009A15B5">
        <w:rPr>
          <w:rFonts w:ascii="Garamond" w:hAnsi="Garamond"/>
          <w:kern w:val="28"/>
          <w:sz w:val="24"/>
        </w:rPr>
        <w:t>If the ESAs are of the opinion that OTC derivatives should remain in the scope of the PRIIPs regulation, the Level II requirements should be modified in order to take into account the particularities of these products and integrate at least the modifications via Q&amp;A into the Level II</w:t>
      </w:r>
      <w:r>
        <w:rPr>
          <w:rFonts w:ascii="Garamond" w:hAnsi="Garamond"/>
          <w:kern w:val="28"/>
          <w:sz w:val="24"/>
        </w:rPr>
        <w:t xml:space="preserve"> </w:t>
      </w:r>
      <w:r w:rsidRPr="009A15B5">
        <w:rPr>
          <w:rFonts w:ascii="Garamond" w:hAnsi="Garamond"/>
          <w:kern w:val="28"/>
          <w:sz w:val="24"/>
        </w:rPr>
        <w:t>requirements (having in mind that other aspects should be addressed as well).</w:t>
      </w:r>
    </w:p>
    <w:p w14:paraId="00449B9A" w14:textId="77777777" w:rsidR="00074C4C" w:rsidRPr="003F4646" w:rsidRDefault="00074C4C" w:rsidP="00074C4C">
      <w:pPr>
        <w:rPr>
          <w:rFonts w:ascii="Garamond" w:hAnsi="Garamond"/>
          <w:sz w:val="24"/>
        </w:rPr>
      </w:pPr>
    </w:p>
    <w:p w14:paraId="63120A6E" w14:textId="77777777" w:rsidR="00074C4C" w:rsidRPr="003F4646" w:rsidRDefault="00074C4C" w:rsidP="00074C4C">
      <w:pPr>
        <w:spacing w:line="360" w:lineRule="auto"/>
        <w:ind w:left="567"/>
        <w:rPr>
          <w:rFonts w:ascii="Garamond" w:eastAsia="Calibri" w:hAnsi="Garamond"/>
          <w:b/>
          <w:sz w:val="24"/>
          <w:lang w:eastAsia="en-US"/>
        </w:rPr>
      </w:pPr>
      <w:r w:rsidRPr="003F4646">
        <w:rPr>
          <w:rFonts w:ascii="Garamond" w:eastAsia="Calibri" w:hAnsi="Garamond"/>
          <w:b/>
          <w:sz w:val="24"/>
          <w:lang w:eastAsia="en-US"/>
        </w:rPr>
        <w:t>5.</w:t>
      </w:r>
      <w:r w:rsidRPr="003F4646">
        <w:rPr>
          <w:rFonts w:ascii="Garamond" w:eastAsia="Calibri" w:hAnsi="Garamond"/>
          <w:b/>
          <w:sz w:val="24"/>
          <w:lang w:eastAsia="en-US"/>
        </w:rPr>
        <w:tab/>
        <w:t>Orders</w:t>
      </w:r>
      <w:r w:rsidRPr="003F4646">
        <w:rPr>
          <w:rFonts w:ascii="Garamond" w:hAnsi="Garamond"/>
          <w:b/>
          <w:sz w:val="24"/>
        </w:rPr>
        <w:t xml:space="preserve"> </w:t>
      </w:r>
      <w:r w:rsidRPr="003F4646">
        <w:rPr>
          <w:rFonts w:ascii="Garamond" w:eastAsia="Calibri" w:hAnsi="Garamond"/>
          <w:b/>
          <w:sz w:val="24"/>
          <w:lang w:eastAsia="en-US"/>
        </w:rPr>
        <w:t>by letter or fax</w:t>
      </w:r>
    </w:p>
    <w:p w14:paraId="4627139A" w14:textId="77777777" w:rsidR="00074C4C" w:rsidRDefault="00074C4C" w:rsidP="00074C4C">
      <w:pPr>
        <w:suppressAutoHyphens/>
        <w:ind w:left="708"/>
        <w:rPr>
          <w:rFonts w:ascii="Garamond" w:hAnsi="Garamond"/>
          <w:kern w:val="28"/>
          <w:sz w:val="24"/>
        </w:rPr>
      </w:pPr>
      <w:r w:rsidRPr="009A15B5">
        <w:rPr>
          <w:rFonts w:ascii="Garamond" w:hAnsi="Garamond"/>
          <w:kern w:val="28"/>
          <w:sz w:val="24"/>
        </w:rPr>
        <w:t>Article 13(3) of the PRIIPs Regulation allows ex</w:t>
      </w:r>
      <w:r>
        <w:rPr>
          <w:rFonts w:ascii="Garamond" w:hAnsi="Garamond"/>
          <w:kern w:val="28"/>
          <w:sz w:val="24"/>
        </w:rPr>
        <w:t>-</w:t>
      </w:r>
      <w:r w:rsidRPr="009A15B5">
        <w:rPr>
          <w:rFonts w:ascii="Garamond" w:hAnsi="Garamond"/>
          <w:kern w:val="28"/>
          <w:sz w:val="24"/>
        </w:rPr>
        <w:t xml:space="preserve">post provision of a KID and requires, among other things, in this context that transactions be concluded using a means of distance communication. Where this means of distance communication is the telephone or email, the requirements of Article 13(3) of the PRIIPs Regulation can be applied; where the means of distance communication is a letter or a fax, however, they cannot. We should welcome clarification to the effect that in this case compliance with points (c) and (d) of paragraph (3) is not required and that a KID merely </w:t>
      </w:r>
      <w:proofErr w:type="gramStart"/>
      <w:r w:rsidRPr="009A15B5">
        <w:rPr>
          <w:rFonts w:ascii="Garamond" w:hAnsi="Garamond"/>
          <w:kern w:val="28"/>
          <w:sz w:val="24"/>
        </w:rPr>
        <w:t>has to</w:t>
      </w:r>
      <w:proofErr w:type="gramEnd"/>
      <w:r w:rsidRPr="009A15B5">
        <w:rPr>
          <w:rFonts w:ascii="Garamond" w:hAnsi="Garamond"/>
          <w:kern w:val="28"/>
          <w:sz w:val="24"/>
        </w:rPr>
        <w:t xml:space="preserve"> be provided without delay after execution of the transaction. </w:t>
      </w:r>
    </w:p>
    <w:p w14:paraId="6427C38D" w14:textId="77777777" w:rsidR="00074C4C" w:rsidRPr="00F538A6" w:rsidRDefault="00074C4C" w:rsidP="00074C4C">
      <w:pPr>
        <w:suppressAutoHyphens/>
        <w:ind w:left="708"/>
        <w:rPr>
          <w:rFonts w:ascii="Garamond" w:hAnsi="Garamond"/>
          <w:kern w:val="28"/>
          <w:sz w:val="24"/>
        </w:rPr>
      </w:pP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07DF135C" w14:textId="77777777" w:rsidR="00074C4C" w:rsidRPr="00CD3FC9" w:rsidRDefault="00074C4C" w:rsidP="00074C4C">
      <w:pPr>
        <w:suppressAutoHyphens/>
        <w:rPr>
          <w:rFonts w:ascii="Garamond" w:hAnsi="Garamond"/>
          <w:kern w:val="28"/>
          <w:sz w:val="24"/>
        </w:rPr>
      </w:pPr>
      <w:permStart w:id="418122716" w:edGrp="everyone"/>
      <w:r>
        <w:rPr>
          <w:rFonts w:ascii="Garamond" w:hAnsi="Garamond"/>
          <w:kern w:val="28"/>
          <w:sz w:val="24"/>
        </w:rPr>
        <w:t>ESBG Members</w:t>
      </w:r>
      <w:r w:rsidRPr="00CB7E94">
        <w:rPr>
          <w:rFonts w:ascii="Garamond" w:hAnsi="Garamond"/>
          <w:kern w:val="28"/>
          <w:sz w:val="24"/>
        </w:rPr>
        <w:t xml:space="preserve"> </w:t>
      </w:r>
      <w:r>
        <w:rPr>
          <w:rFonts w:ascii="Garamond" w:hAnsi="Garamond"/>
          <w:kern w:val="28"/>
          <w:sz w:val="24"/>
        </w:rPr>
        <w:t xml:space="preserve">believe </w:t>
      </w:r>
      <w:r w:rsidRPr="00CB7E94">
        <w:rPr>
          <w:rFonts w:ascii="Garamond" w:hAnsi="Garamond"/>
          <w:kern w:val="28"/>
          <w:sz w:val="24"/>
        </w:rPr>
        <w:t xml:space="preserve">that illustrative scenarios should be included when the </w:t>
      </w:r>
      <w:r>
        <w:rPr>
          <w:rFonts w:ascii="Garamond" w:hAnsi="Garamond"/>
          <w:kern w:val="28"/>
          <w:sz w:val="24"/>
        </w:rPr>
        <w:t>p</w:t>
      </w:r>
      <w:r w:rsidRPr="00CB7E94">
        <w:rPr>
          <w:rFonts w:ascii="Garamond" w:hAnsi="Garamond"/>
          <w:kern w:val="28"/>
          <w:sz w:val="24"/>
        </w:rPr>
        <w:t>ayoff of the product is complicated.</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936FDEE" w14:textId="77777777" w:rsidR="00074C4C" w:rsidRPr="009A15B5" w:rsidRDefault="00074C4C" w:rsidP="00074C4C">
      <w:pPr>
        <w:suppressAutoHyphens/>
        <w:rPr>
          <w:rFonts w:ascii="Garamond" w:hAnsi="Garamond"/>
          <w:kern w:val="28"/>
          <w:sz w:val="24"/>
        </w:rPr>
      </w:pPr>
      <w:permStart w:id="569465455" w:edGrp="everyone"/>
      <w:r w:rsidRPr="009A15B5">
        <w:rPr>
          <w:rFonts w:ascii="Garamond" w:hAnsi="Garamond"/>
          <w:kern w:val="28"/>
          <w:sz w:val="24"/>
        </w:rPr>
        <w:t xml:space="preserve">We agree with the current draft to eliminate the intermediate scenarios as well as the stress scenario. They pose a very challenging technical </w:t>
      </w:r>
      <w:proofErr w:type="gramStart"/>
      <w:r w:rsidRPr="009A15B5">
        <w:rPr>
          <w:rFonts w:ascii="Garamond" w:hAnsi="Garamond"/>
          <w:kern w:val="28"/>
          <w:sz w:val="24"/>
        </w:rPr>
        <w:t>issue,</w:t>
      </w:r>
      <w:proofErr w:type="gramEnd"/>
      <w:r w:rsidRPr="009A15B5">
        <w:rPr>
          <w:rFonts w:ascii="Garamond" w:hAnsi="Garamond"/>
          <w:kern w:val="28"/>
          <w:sz w:val="24"/>
        </w:rPr>
        <w:t xml:space="preserve"> investors have difficulties in understanding them and they provide no or only very limited information. In the interest of providing the investor with only useful information</w:t>
      </w:r>
      <w:r>
        <w:rPr>
          <w:rFonts w:ascii="Garamond" w:hAnsi="Garamond"/>
          <w:kern w:val="28"/>
          <w:sz w:val="24"/>
        </w:rPr>
        <w:t>,</w:t>
      </w:r>
      <w:r w:rsidRPr="009A15B5">
        <w:rPr>
          <w:rFonts w:ascii="Garamond" w:hAnsi="Garamond"/>
          <w:kern w:val="28"/>
          <w:sz w:val="24"/>
        </w:rPr>
        <w:t xml:space="preserve"> the intermediate scenarios should be removed. </w:t>
      </w:r>
    </w:p>
    <w:p w14:paraId="4DB87DA2" w14:textId="77777777" w:rsidR="00074C4C" w:rsidRPr="009A15B5" w:rsidRDefault="00074C4C" w:rsidP="00074C4C">
      <w:pPr>
        <w:suppressAutoHyphens/>
        <w:rPr>
          <w:rFonts w:ascii="Garamond" w:hAnsi="Garamond"/>
          <w:kern w:val="28"/>
          <w:sz w:val="24"/>
        </w:rPr>
      </w:pPr>
    </w:p>
    <w:p w14:paraId="39B89887" w14:textId="77777777" w:rsidR="00074C4C" w:rsidRPr="009A15B5" w:rsidRDefault="00074C4C" w:rsidP="00074C4C">
      <w:pPr>
        <w:suppressAutoHyphens/>
        <w:rPr>
          <w:rFonts w:ascii="Garamond" w:hAnsi="Garamond"/>
          <w:kern w:val="28"/>
          <w:sz w:val="24"/>
        </w:rPr>
      </w:pPr>
      <w:r w:rsidRPr="009A15B5">
        <w:rPr>
          <w:rFonts w:ascii="Garamond" w:hAnsi="Garamond"/>
          <w:kern w:val="28"/>
          <w:sz w:val="24"/>
        </w:rPr>
        <w:t xml:space="preserve">As a side note, we are sceptical in general to use a performance assumption for the ‘What are the costs?’ section of the KID as this hinders the comparability of the cost disclosure pursuant to the PRIIPs Regulation and MiFID II. We still think that it is desirable to harmonize both cost presentations and therefore, both sets of rules, the PRIIPs Regulation and MiFID II, should be stronger aligned so that, for example, the ex-ante cost statement is consistent with the cost disclosure in the PRIIPs KID. The alignment should be based on the MiFID II approach as, inter alia, the </w:t>
      </w:r>
      <w:r w:rsidRPr="009A15B5">
        <w:rPr>
          <w:rFonts w:ascii="Garamond" w:hAnsi="Garamond"/>
          <w:kern w:val="28"/>
          <w:sz w:val="24"/>
        </w:rPr>
        <w:lastRenderedPageBreak/>
        <w:t>distributor which is responsible for the cost statement under MiFID is not aware of the cash flow of the moderate scenario which is necessary in order to calculate the RIY under PRIIPs.</w:t>
      </w:r>
    </w:p>
    <w:p w14:paraId="79C0435D" w14:textId="77777777" w:rsidR="00074C4C" w:rsidRDefault="00074C4C" w:rsidP="00074C4C">
      <w:pPr>
        <w:suppressAutoHyphens/>
        <w:rPr>
          <w:rFonts w:ascii="Garamond" w:hAnsi="Garamond"/>
          <w:kern w:val="28"/>
          <w:sz w:val="24"/>
        </w:rPr>
      </w:pPr>
    </w:p>
    <w:p w14:paraId="5FE53C32" w14:textId="77777777" w:rsidR="00074C4C" w:rsidRPr="009A15B5" w:rsidRDefault="00074C4C" w:rsidP="00074C4C">
      <w:pPr>
        <w:suppressAutoHyphens/>
        <w:rPr>
          <w:rFonts w:ascii="Garamond" w:hAnsi="Garamond"/>
          <w:kern w:val="28"/>
          <w:sz w:val="24"/>
        </w:rPr>
      </w:pPr>
      <w:r>
        <w:rPr>
          <w:rFonts w:ascii="Garamond" w:hAnsi="Garamond"/>
          <w:kern w:val="28"/>
          <w:sz w:val="24"/>
        </w:rPr>
        <w:t>In case</w:t>
      </w:r>
      <w:r w:rsidRPr="00F757A5">
        <w:rPr>
          <w:rFonts w:ascii="Garamond" w:hAnsi="Garamond"/>
          <w:kern w:val="28"/>
          <w:sz w:val="24"/>
        </w:rPr>
        <w:t xml:space="preserve"> intermediate scenarios are</w:t>
      </w:r>
      <w:r>
        <w:rPr>
          <w:rFonts w:ascii="Garamond" w:hAnsi="Garamond"/>
          <w:kern w:val="28"/>
          <w:sz w:val="24"/>
        </w:rPr>
        <w:t xml:space="preserve"> kept</w:t>
      </w:r>
      <w:r w:rsidRPr="00F757A5">
        <w:rPr>
          <w:rFonts w:ascii="Garamond" w:hAnsi="Garamond"/>
          <w:kern w:val="28"/>
          <w:sz w:val="24"/>
        </w:rPr>
        <w:t xml:space="preserve">, the natural way to calculate them is by using a Nested </w:t>
      </w:r>
      <w:proofErr w:type="spellStart"/>
      <w:r w:rsidRPr="00F757A5">
        <w:rPr>
          <w:rFonts w:ascii="Garamond" w:hAnsi="Garamond"/>
          <w:kern w:val="28"/>
          <w:sz w:val="24"/>
        </w:rPr>
        <w:t>Montecarlo</w:t>
      </w:r>
      <w:proofErr w:type="spellEnd"/>
      <w:r w:rsidRPr="00F757A5">
        <w:rPr>
          <w:rFonts w:ascii="Garamond" w:hAnsi="Garamond"/>
          <w:kern w:val="28"/>
          <w:sz w:val="24"/>
        </w:rPr>
        <w:t xml:space="preserve">, or </w:t>
      </w:r>
      <w:proofErr w:type="spellStart"/>
      <w:r w:rsidRPr="00F757A5">
        <w:rPr>
          <w:rFonts w:ascii="Garamond" w:hAnsi="Garamond"/>
          <w:kern w:val="28"/>
          <w:sz w:val="24"/>
        </w:rPr>
        <w:t>Montecarlo</w:t>
      </w:r>
      <w:proofErr w:type="spellEnd"/>
      <w:r w:rsidRPr="00F757A5">
        <w:rPr>
          <w:rFonts w:ascii="Garamond" w:hAnsi="Garamond"/>
          <w:kern w:val="28"/>
          <w:sz w:val="24"/>
        </w:rPr>
        <w:t xml:space="preserve"> of a </w:t>
      </w:r>
      <w:proofErr w:type="spellStart"/>
      <w:r w:rsidRPr="00F757A5">
        <w:rPr>
          <w:rFonts w:ascii="Garamond" w:hAnsi="Garamond"/>
          <w:kern w:val="28"/>
          <w:sz w:val="24"/>
        </w:rPr>
        <w:t>MonteCarlo</w:t>
      </w:r>
      <w:proofErr w:type="spellEnd"/>
      <w:r w:rsidRPr="00F757A5">
        <w:rPr>
          <w:rFonts w:ascii="Garamond" w:hAnsi="Garamond"/>
          <w:kern w:val="28"/>
          <w:sz w:val="24"/>
        </w:rPr>
        <w:t xml:space="preserve">. This is computationally </w:t>
      </w:r>
      <w:proofErr w:type="gramStart"/>
      <w:r w:rsidRPr="00F757A5">
        <w:rPr>
          <w:rFonts w:ascii="Garamond" w:hAnsi="Garamond"/>
          <w:kern w:val="28"/>
          <w:sz w:val="24"/>
        </w:rPr>
        <w:t>intense,</w:t>
      </w:r>
      <w:proofErr w:type="gramEnd"/>
      <w:r w:rsidRPr="00F757A5">
        <w:rPr>
          <w:rFonts w:ascii="Garamond" w:hAnsi="Garamond"/>
          <w:kern w:val="28"/>
          <w:sz w:val="24"/>
        </w:rPr>
        <w:t xml:space="preserve"> some approximations can be done as the use of Least Squares </w:t>
      </w:r>
      <w:proofErr w:type="spellStart"/>
      <w:r w:rsidRPr="00F757A5">
        <w:rPr>
          <w:rFonts w:ascii="Garamond" w:hAnsi="Garamond"/>
          <w:kern w:val="28"/>
          <w:sz w:val="24"/>
        </w:rPr>
        <w:t>MonteCarlo</w:t>
      </w:r>
      <w:proofErr w:type="spellEnd"/>
      <w:r w:rsidRPr="00F757A5">
        <w:rPr>
          <w:rFonts w:ascii="Garamond" w:hAnsi="Garamond"/>
          <w:kern w:val="28"/>
          <w:sz w:val="24"/>
        </w:rPr>
        <w:t>.</w:t>
      </w:r>
    </w:p>
    <w:p w14:paraId="78433C47" w14:textId="77777777" w:rsidR="00074C4C" w:rsidRDefault="00074C4C" w:rsidP="00074C4C">
      <w:pPr>
        <w:suppressAutoHyphens/>
        <w:rPr>
          <w:rFonts w:ascii="Garamond" w:hAnsi="Garamond"/>
          <w:kern w:val="28"/>
          <w:sz w:val="24"/>
        </w:rPr>
      </w:pPr>
    </w:p>
    <w:p w14:paraId="466C6222" w14:textId="77777777" w:rsidR="00074C4C" w:rsidRPr="009A15B5" w:rsidRDefault="00074C4C" w:rsidP="00074C4C">
      <w:pPr>
        <w:suppressAutoHyphens/>
        <w:rPr>
          <w:rFonts w:ascii="Garamond" w:hAnsi="Garamond"/>
          <w:kern w:val="28"/>
          <w:sz w:val="24"/>
        </w:rPr>
      </w:pPr>
      <w:r>
        <w:rPr>
          <w:rFonts w:ascii="Garamond" w:hAnsi="Garamond"/>
          <w:kern w:val="28"/>
          <w:sz w:val="24"/>
        </w:rPr>
        <w:t>W</w:t>
      </w:r>
      <w:r w:rsidRPr="009A15B5">
        <w:rPr>
          <w:rFonts w:ascii="Garamond" w:hAnsi="Garamond"/>
          <w:kern w:val="28"/>
          <w:sz w:val="24"/>
        </w:rPr>
        <w:t xml:space="preserve">e </w:t>
      </w:r>
      <w:r>
        <w:rPr>
          <w:rFonts w:ascii="Garamond" w:hAnsi="Garamond"/>
          <w:kern w:val="28"/>
          <w:sz w:val="24"/>
        </w:rPr>
        <w:t xml:space="preserve">would also </w:t>
      </w:r>
      <w:r w:rsidRPr="009A15B5">
        <w:rPr>
          <w:rFonts w:ascii="Garamond" w:hAnsi="Garamond"/>
          <w:kern w:val="28"/>
          <w:sz w:val="24"/>
        </w:rPr>
        <w:t xml:space="preserve">suggest </w:t>
      </w:r>
      <w:proofErr w:type="gramStart"/>
      <w:r w:rsidRPr="009A15B5">
        <w:rPr>
          <w:rFonts w:ascii="Garamond" w:hAnsi="Garamond"/>
          <w:kern w:val="28"/>
          <w:sz w:val="24"/>
        </w:rPr>
        <w:t>to use</w:t>
      </w:r>
      <w:proofErr w:type="gramEnd"/>
      <w:r w:rsidRPr="009A15B5">
        <w:rPr>
          <w:rFonts w:ascii="Garamond" w:hAnsi="Garamond"/>
          <w:kern w:val="28"/>
          <w:sz w:val="24"/>
        </w:rPr>
        <w:t xml:space="preserve"> either a prescribed return assumption for calculating the intermediate costs or to use the (per annum) return before costs (including all intermediate payments before the intermediate point) of the moderate scenario at RHP. This way, the impact of costs for exiting early is illustrated without increasing complexity. Otherwise, calculating the intermediate scenarios would still be needed although they are not shown, i.e. the technical issues remain, and it increases in transparency for the investor on how the intermediate costs are calculated. If the intermediate scenarios are to be kept, it is highly important to further specify their calculation to achieve comparability and to clarify e.g. if and how to discount within the interim simulations: using a risk-free rate or if a credit spread should be added, using the current (static) or simulated (stochastic) rates.</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5BA97DC" w14:textId="77777777" w:rsidR="00074C4C" w:rsidRPr="009A15B5" w:rsidRDefault="00074C4C" w:rsidP="00074C4C">
      <w:pPr>
        <w:suppressAutoHyphens/>
        <w:rPr>
          <w:rFonts w:ascii="Garamond" w:hAnsi="Garamond"/>
          <w:kern w:val="28"/>
          <w:sz w:val="24"/>
        </w:rPr>
      </w:pPr>
      <w:permStart w:id="1713528049" w:edGrp="everyone"/>
      <w:r w:rsidRPr="009A15B5">
        <w:rPr>
          <w:rFonts w:ascii="Garamond" w:hAnsi="Garamond"/>
          <w:kern w:val="28"/>
          <w:sz w:val="24"/>
        </w:rPr>
        <w:t xml:space="preserve">In general, we are of the opinion that a stress scenario does not provide much benefit for the investor and could be removed altogether. This would further reduce the information load for the retail investor. </w:t>
      </w:r>
    </w:p>
    <w:p w14:paraId="0260A50C" w14:textId="77777777" w:rsidR="00074C4C" w:rsidRPr="009A15B5" w:rsidRDefault="00074C4C" w:rsidP="00074C4C">
      <w:pPr>
        <w:suppressAutoHyphens/>
        <w:rPr>
          <w:rFonts w:ascii="Garamond" w:hAnsi="Garamond"/>
          <w:kern w:val="28"/>
          <w:sz w:val="24"/>
        </w:rPr>
      </w:pPr>
    </w:p>
    <w:p w14:paraId="50A873D5" w14:textId="77777777" w:rsidR="00074C4C" w:rsidRDefault="00074C4C" w:rsidP="00074C4C">
      <w:pPr>
        <w:suppressAutoHyphens/>
        <w:rPr>
          <w:rFonts w:ascii="Garamond" w:hAnsi="Garamond"/>
          <w:kern w:val="28"/>
          <w:sz w:val="24"/>
        </w:rPr>
      </w:pPr>
      <w:r w:rsidRPr="009A15B5">
        <w:rPr>
          <w:rFonts w:ascii="Garamond" w:hAnsi="Garamond"/>
          <w:kern w:val="28"/>
          <w:sz w:val="24"/>
        </w:rPr>
        <w:t xml:space="preserve">If the stress scenario is to be kept, </w:t>
      </w:r>
      <w:r w:rsidRPr="0013172E">
        <w:rPr>
          <w:rFonts w:ascii="Garamond" w:hAnsi="Garamond"/>
          <w:kern w:val="28"/>
          <w:sz w:val="24"/>
        </w:rPr>
        <w:t xml:space="preserve">assuming a growth rate is a conservative assumption, it can be changed for using minimum rate (growth rate of the product, 0). In that case, for negative cases, at least </w:t>
      </w:r>
      <w:r>
        <w:rPr>
          <w:rFonts w:ascii="Garamond" w:hAnsi="Garamond"/>
          <w:kern w:val="28"/>
          <w:sz w:val="24"/>
        </w:rPr>
        <w:t>the scenario</w:t>
      </w:r>
      <w:r w:rsidRPr="0013172E">
        <w:rPr>
          <w:rFonts w:ascii="Garamond" w:hAnsi="Garamond"/>
          <w:kern w:val="28"/>
          <w:sz w:val="24"/>
        </w:rPr>
        <w:t xml:space="preserve"> can be </w:t>
      </w:r>
      <w:proofErr w:type="gramStart"/>
      <w:r w:rsidRPr="0013172E">
        <w:rPr>
          <w:rFonts w:ascii="Garamond" w:hAnsi="Garamond"/>
          <w:kern w:val="28"/>
          <w:sz w:val="24"/>
        </w:rPr>
        <w:t>taken into account</w:t>
      </w:r>
      <w:proofErr w:type="gramEnd"/>
      <w:r>
        <w:rPr>
          <w:rFonts w:ascii="Garamond" w:hAnsi="Garamond"/>
          <w:kern w:val="28"/>
          <w:sz w:val="24"/>
        </w:rPr>
        <w:t>.</w:t>
      </w:r>
    </w:p>
    <w:p w14:paraId="69708E3E" w14:textId="77777777" w:rsidR="00074C4C" w:rsidRDefault="00074C4C" w:rsidP="00074C4C">
      <w:pPr>
        <w:suppressAutoHyphens/>
        <w:rPr>
          <w:rFonts w:ascii="Garamond" w:eastAsia="Calibri" w:hAnsi="Garamond"/>
          <w:sz w:val="24"/>
          <w:lang w:eastAsia="en-US"/>
        </w:rPr>
      </w:pPr>
      <w:r>
        <w:rPr>
          <w:rFonts w:ascii="Garamond" w:hAnsi="Garamond"/>
          <w:kern w:val="28"/>
          <w:sz w:val="24"/>
        </w:rPr>
        <w:t xml:space="preserve">In case a growth rate is included, </w:t>
      </w:r>
      <w:r w:rsidRPr="009A15B5">
        <w:rPr>
          <w:rFonts w:ascii="Garamond" w:hAnsi="Garamond"/>
          <w:kern w:val="28"/>
          <w:sz w:val="24"/>
        </w:rPr>
        <w:t>it is important that the rate for the stress scenario should not exceed the growth rate of the other performance scenarios. The distinction between short</w:t>
      </w:r>
      <w:r>
        <w:rPr>
          <w:rFonts w:ascii="Garamond" w:hAnsi="Garamond"/>
          <w:kern w:val="28"/>
          <w:sz w:val="24"/>
        </w:rPr>
        <w:t>-</w:t>
      </w:r>
      <w:r w:rsidRPr="009A15B5">
        <w:rPr>
          <w:rFonts w:ascii="Garamond" w:hAnsi="Garamond"/>
          <w:kern w:val="28"/>
          <w:sz w:val="24"/>
        </w:rPr>
        <w:t xml:space="preserve"> and long-term stress volatility should be eliminated since this can cause inconsistent results when either presenting intermediate scenarios or when a product switches from long- to short-term stress volatility</w:t>
      </w:r>
      <w:r w:rsidRPr="003F4646">
        <w:rPr>
          <w:rFonts w:ascii="Garamond" w:eastAsia="Calibri" w:hAnsi="Garamond"/>
          <w:sz w:val="24"/>
          <w:lang w:eastAsia="en-US"/>
        </w:rPr>
        <w:t>.</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81C35A2" w14:textId="77777777" w:rsidR="00074C4C" w:rsidRDefault="00074C4C" w:rsidP="00074C4C">
      <w:pPr>
        <w:suppressAutoHyphens/>
        <w:rPr>
          <w:rFonts w:ascii="Garamond" w:hAnsi="Garamond"/>
          <w:kern w:val="28"/>
          <w:sz w:val="24"/>
        </w:rPr>
      </w:pPr>
      <w:permStart w:id="221670941" w:edGrp="everyone"/>
      <w:r w:rsidRPr="00F9617B">
        <w:rPr>
          <w:rFonts w:ascii="Garamond" w:hAnsi="Garamond"/>
          <w:kern w:val="28"/>
          <w:sz w:val="24"/>
        </w:rPr>
        <w:t>It seems reasonable, but we must test the methodology before agreeing with it. The methodology presents certain doubts, for example</w:t>
      </w:r>
      <w:r>
        <w:rPr>
          <w:rFonts w:ascii="Garamond" w:hAnsi="Garamond"/>
          <w:kern w:val="28"/>
          <w:sz w:val="24"/>
        </w:rPr>
        <w:t>:</w:t>
      </w:r>
      <w:r w:rsidRPr="00F9617B">
        <w:rPr>
          <w:rFonts w:ascii="Garamond" w:hAnsi="Garamond"/>
          <w:kern w:val="28"/>
          <w:sz w:val="24"/>
        </w:rPr>
        <w:t xml:space="preserve"> if we have invested in an Investment Fund, should we consider what assets the Investment Fund is investing in? Although that may be reasonable from a theoretical perspective, from a practical point it can be ungovernable.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lastRenderedPageBreak/>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5132CF94" w14:textId="77777777" w:rsidR="00074C4C" w:rsidRPr="009A15B5" w:rsidRDefault="00074C4C" w:rsidP="00074C4C">
      <w:pPr>
        <w:suppressAutoHyphens/>
        <w:rPr>
          <w:rFonts w:ascii="Garamond" w:hAnsi="Garamond"/>
          <w:kern w:val="28"/>
          <w:sz w:val="24"/>
        </w:rPr>
      </w:pPr>
      <w:permStart w:id="610013876" w:edGrp="everyone"/>
      <w:r w:rsidRPr="00F9617B">
        <w:rPr>
          <w:rFonts w:ascii="Garamond" w:hAnsi="Garamond"/>
          <w:kern w:val="28"/>
          <w:sz w:val="24"/>
        </w:rPr>
        <w:t xml:space="preserve">It </w:t>
      </w:r>
      <w:r>
        <w:rPr>
          <w:rFonts w:ascii="Garamond" w:hAnsi="Garamond"/>
          <w:kern w:val="28"/>
          <w:sz w:val="24"/>
        </w:rPr>
        <w:t>could be seen</w:t>
      </w:r>
      <w:r w:rsidRPr="00F9617B">
        <w:rPr>
          <w:rFonts w:ascii="Garamond" w:hAnsi="Garamond"/>
          <w:kern w:val="28"/>
          <w:sz w:val="24"/>
        </w:rPr>
        <w:t xml:space="preserve"> reasonable for some assets such as stocks. On the other hand, it will be harder for some other assets such as Investment Funds, Hedge Funds, Alternative Assets</w:t>
      </w:r>
      <w:r>
        <w:rPr>
          <w:rFonts w:ascii="Garamond" w:hAnsi="Garamond"/>
          <w:kern w:val="28"/>
          <w:sz w:val="24"/>
        </w:rPr>
        <w:t>. However,</w:t>
      </w:r>
      <w:r w:rsidRPr="009A15B5">
        <w:rPr>
          <w:rFonts w:ascii="Garamond" w:hAnsi="Garamond"/>
          <w:kern w:val="28"/>
          <w:sz w:val="24"/>
        </w:rPr>
        <w:t xml:space="preserve"> </w:t>
      </w:r>
      <w:r>
        <w:rPr>
          <w:rFonts w:ascii="Garamond" w:hAnsi="Garamond"/>
          <w:kern w:val="28"/>
          <w:sz w:val="24"/>
        </w:rPr>
        <w:t>w</w:t>
      </w:r>
      <w:r w:rsidRPr="009A15B5">
        <w:rPr>
          <w:rFonts w:ascii="Garamond" w:hAnsi="Garamond"/>
          <w:kern w:val="28"/>
          <w:sz w:val="24"/>
        </w:rPr>
        <w:t xml:space="preserve">e refer to our introductory comments regarding the probabilistic approach in general. </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30456E11" w14:textId="77777777" w:rsidR="00074C4C" w:rsidRPr="009A15B5" w:rsidRDefault="00074C4C" w:rsidP="00074C4C">
      <w:pPr>
        <w:suppressAutoHyphens/>
        <w:rPr>
          <w:rFonts w:ascii="Garamond" w:hAnsi="Garamond"/>
          <w:kern w:val="28"/>
          <w:sz w:val="24"/>
        </w:rPr>
      </w:pPr>
      <w:permStart w:id="790175202" w:edGrp="everyone"/>
      <w:r w:rsidRPr="009A15B5">
        <w:rPr>
          <w:rFonts w:ascii="Garamond" w:hAnsi="Garamond"/>
          <w:kern w:val="28"/>
          <w:sz w:val="24"/>
        </w:rPr>
        <w:t xml:space="preserve">If dividends are to be estimated, we strongly suggest using historical dividends in order to eliminate potential differences in expected dividends from either internal or external sources. </w:t>
      </w:r>
      <w:r>
        <w:rPr>
          <w:rFonts w:ascii="Garamond" w:hAnsi="Garamond"/>
          <w:kern w:val="28"/>
          <w:sz w:val="24"/>
        </w:rPr>
        <w:t>In any case, this should be tested before.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01423425" w14:textId="77777777" w:rsidR="00074C4C" w:rsidRPr="009A15B5" w:rsidRDefault="00074C4C" w:rsidP="00074C4C">
      <w:pPr>
        <w:suppressAutoHyphens/>
        <w:rPr>
          <w:rFonts w:ascii="Garamond" w:hAnsi="Garamond"/>
          <w:kern w:val="28"/>
          <w:sz w:val="24"/>
        </w:rPr>
      </w:pPr>
      <w:permStart w:id="800330460" w:edGrp="everyone"/>
      <w:r w:rsidRPr="009A15B5">
        <w:rPr>
          <w:rFonts w:ascii="Garamond" w:hAnsi="Garamond"/>
          <w:kern w:val="28"/>
          <w:sz w:val="24"/>
        </w:rPr>
        <w:t>We suggest not to include buyback rates as they are not as stable over time and would increase estimation risk even further. Our suggestion of using a long-term ERP would eliminate the necessity to estimate buyback rates.</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30A6AE" w14:textId="77777777" w:rsidR="00074C4C" w:rsidRDefault="00074C4C" w:rsidP="00074C4C">
      <w:pPr>
        <w:suppressAutoHyphens/>
        <w:rPr>
          <w:rFonts w:ascii="Garamond" w:hAnsi="Garamond"/>
          <w:kern w:val="28"/>
          <w:sz w:val="24"/>
        </w:rPr>
      </w:pPr>
      <w:permStart w:id="1179406826" w:edGrp="everyone"/>
      <w:r w:rsidRPr="00F9617B">
        <w:rPr>
          <w:rFonts w:ascii="Garamond" w:hAnsi="Garamond"/>
          <w:kern w:val="28"/>
          <w:sz w:val="24"/>
        </w:rPr>
        <w:t>Maybe this approach fits for other types of funds, it is required to evaluate if the new methodology makes a good forecast for returns.</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1FFFA749" w14:textId="77777777" w:rsidR="00074C4C" w:rsidRPr="00F9617B" w:rsidRDefault="00074C4C" w:rsidP="00074C4C">
      <w:pPr>
        <w:suppressAutoHyphens/>
        <w:rPr>
          <w:rFonts w:ascii="Garamond" w:hAnsi="Garamond"/>
          <w:kern w:val="28"/>
          <w:sz w:val="24"/>
        </w:rPr>
      </w:pPr>
      <w:permStart w:id="1646396141" w:edGrp="everyone"/>
      <w:r w:rsidRPr="00F9617B">
        <w:rPr>
          <w:rFonts w:ascii="Garamond" w:hAnsi="Garamond"/>
          <w:kern w:val="28"/>
          <w:sz w:val="24"/>
        </w:rPr>
        <w:t>It is not clear whether implied volatility is a good forecast</w:t>
      </w:r>
      <w:r>
        <w:rPr>
          <w:rFonts w:ascii="Garamond" w:hAnsi="Garamond"/>
          <w:kern w:val="28"/>
          <w:sz w:val="24"/>
        </w:rPr>
        <w:t>,</w:t>
      </w:r>
      <w:r w:rsidRPr="00F9617B">
        <w:rPr>
          <w:rFonts w:ascii="Garamond" w:hAnsi="Garamond"/>
          <w:kern w:val="28"/>
          <w:sz w:val="24"/>
        </w:rPr>
        <w:t xml:space="preserve"> n</w:t>
      </w:r>
      <w:r>
        <w:rPr>
          <w:rFonts w:ascii="Garamond" w:hAnsi="Garamond"/>
          <w:kern w:val="28"/>
          <w:sz w:val="24"/>
        </w:rPr>
        <w:t>o</w:t>
      </w:r>
      <w:r w:rsidRPr="00F9617B">
        <w:rPr>
          <w:rFonts w:ascii="Garamond" w:hAnsi="Garamond"/>
          <w:kern w:val="28"/>
          <w:sz w:val="24"/>
        </w:rPr>
        <w:t xml:space="preserve">r the historical one. As Riccardo </w:t>
      </w:r>
      <w:proofErr w:type="spellStart"/>
      <w:r w:rsidRPr="00F9617B">
        <w:rPr>
          <w:rFonts w:ascii="Garamond" w:hAnsi="Garamond"/>
          <w:kern w:val="28"/>
          <w:sz w:val="24"/>
        </w:rPr>
        <w:t>Rebonato</w:t>
      </w:r>
      <w:proofErr w:type="spellEnd"/>
      <w:r>
        <w:rPr>
          <w:rFonts w:ascii="Garamond" w:hAnsi="Garamond"/>
          <w:kern w:val="28"/>
          <w:sz w:val="24"/>
        </w:rPr>
        <w:t xml:space="preserve">, professor of the </w:t>
      </w:r>
      <w:r w:rsidRPr="00A02513">
        <w:rPr>
          <w:rFonts w:ascii="Garamond" w:hAnsi="Garamond"/>
          <w:kern w:val="28"/>
          <w:sz w:val="24"/>
        </w:rPr>
        <w:t>EDHEC Business School</w:t>
      </w:r>
      <w:r>
        <w:rPr>
          <w:rFonts w:ascii="Garamond" w:hAnsi="Garamond"/>
          <w:kern w:val="28"/>
          <w:sz w:val="24"/>
        </w:rPr>
        <w:t>,</w:t>
      </w:r>
      <w:r w:rsidRPr="00A02513">
        <w:rPr>
          <w:rFonts w:ascii="Garamond" w:hAnsi="Garamond"/>
          <w:kern w:val="28"/>
          <w:sz w:val="24"/>
        </w:rPr>
        <w:t xml:space="preserve"> </w:t>
      </w:r>
      <w:r w:rsidRPr="00F9617B">
        <w:rPr>
          <w:rFonts w:ascii="Garamond" w:hAnsi="Garamond"/>
          <w:kern w:val="28"/>
          <w:sz w:val="24"/>
        </w:rPr>
        <w:t>state</w:t>
      </w:r>
      <w:r>
        <w:rPr>
          <w:rFonts w:ascii="Garamond" w:hAnsi="Garamond"/>
          <w:kern w:val="28"/>
          <w:sz w:val="24"/>
        </w:rPr>
        <w:t>d</w:t>
      </w:r>
      <w:r w:rsidRPr="00F9617B">
        <w:rPr>
          <w:rFonts w:ascii="Garamond" w:hAnsi="Garamond"/>
          <w:kern w:val="28"/>
          <w:sz w:val="24"/>
        </w:rPr>
        <w:t xml:space="preserve"> implied volatility is “the wrong number to put in the wrong formula to get the right price”. In case that an option price is not available for one asset, there are two options:</w:t>
      </w:r>
    </w:p>
    <w:p w14:paraId="2DC16F84" w14:textId="77777777" w:rsidR="00074C4C" w:rsidRDefault="00074C4C" w:rsidP="00074C4C">
      <w:pPr>
        <w:suppressAutoHyphens/>
        <w:rPr>
          <w:rFonts w:ascii="Garamond" w:hAnsi="Garamond"/>
          <w:kern w:val="28"/>
          <w:sz w:val="24"/>
        </w:rPr>
      </w:pPr>
      <w:r w:rsidRPr="00F9617B">
        <w:rPr>
          <w:rFonts w:ascii="Garamond" w:hAnsi="Garamond"/>
          <w:kern w:val="28"/>
          <w:sz w:val="24"/>
        </w:rPr>
        <w:lastRenderedPageBreak/>
        <w:t xml:space="preserve">Using the VIX or </w:t>
      </w:r>
      <w:r>
        <w:rPr>
          <w:rFonts w:ascii="Garamond" w:hAnsi="Garamond"/>
          <w:kern w:val="28"/>
          <w:sz w:val="24"/>
        </w:rPr>
        <w:t>u</w:t>
      </w:r>
      <w:r w:rsidRPr="00F9617B">
        <w:rPr>
          <w:rFonts w:ascii="Garamond" w:hAnsi="Garamond"/>
          <w:kern w:val="28"/>
          <w:sz w:val="24"/>
        </w:rPr>
        <w:t>sing the implied volatility of a similar asset escalated by the ratio between the two assets.</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B4B325D" w14:textId="77777777" w:rsidR="00074C4C" w:rsidRPr="009A15B5" w:rsidRDefault="00074C4C" w:rsidP="00074C4C">
      <w:pPr>
        <w:suppressAutoHyphens/>
        <w:rPr>
          <w:rFonts w:ascii="Garamond" w:hAnsi="Garamond"/>
          <w:kern w:val="28"/>
          <w:sz w:val="24"/>
        </w:rPr>
      </w:pPr>
      <w:permStart w:id="1271138379" w:edGrp="everyone"/>
      <w:r>
        <w:rPr>
          <w:rFonts w:ascii="Garamond" w:hAnsi="Garamond"/>
          <w:kern w:val="28"/>
          <w:sz w:val="24"/>
        </w:rPr>
        <w:t xml:space="preserve">We </w:t>
      </w:r>
      <w:r w:rsidRPr="009A15B5">
        <w:rPr>
          <w:rFonts w:ascii="Garamond" w:hAnsi="Garamond"/>
          <w:kern w:val="28"/>
          <w:sz w:val="24"/>
        </w:rPr>
        <w:t xml:space="preserve">think that the proposed compensatory mechanisms could result into a bias. These measures would also deteriorate comparability between several PRIIPs even further. Including manufacturer’s expectation introduces a highly discretionary component that would lead to incomparable results. </w:t>
      </w:r>
      <w:proofErr w:type="gramStart"/>
      <w:r w:rsidRPr="009A15B5">
        <w:rPr>
          <w:rFonts w:ascii="Garamond" w:hAnsi="Garamond"/>
          <w:kern w:val="28"/>
          <w:sz w:val="24"/>
        </w:rPr>
        <w:t>In light of</w:t>
      </w:r>
      <w:proofErr w:type="gramEnd"/>
      <w:r w:rsidRPr="009A15B5">
        <w:rPr>
          <w:rFonts w:ascii="Garamond" w:hAnsi="Garamond"/>
          <w:kern w:val="28"/>
          <w:sz w:val="24"/>
        </w:rPr>
        <w:t xml:space="preserve"> the general probabilistic approach it is also not comprehensible why the scenarios should be calculated with complex formulas at first</w:t>
      </w:r>
      <w:r>
        <w:rPr>
          <w:rFonts w:ascii="Garamond" w:hAnsi="Garamond"/>
          <w:kern w:val="28"/>
          <w:sz w:val="24"/>
        </w:rPr>
        <w:t>,</w:t>
      </w:r>
      <w:r w:rsidRPr="009A15B5">
        <w:rPr>
          <w:rFonts w:ascii="Garamond" w:hAnsi="Garamond"/>
          <w:kern w:val="28"/>
          <w:sz w:val="24"/>
        </w:rPr>
        <w:t xml:space="preserve"> just to subsequently adjust them where necessary. This could confuse the retail investor further as the figures might look more realistic even though they are not precise. Furthermore, to use historical performances to adjust the performance scenarios is conceptually inconsistent because it compares one historical realization of a return path with a percentile of a distribution. </w:t>
      </w:r>
    </w:p>
    <w:p w14:paraId="1ED80263" w14:textId="77777777" w:rsidR="00074C4C" w:rsidRPr="009A15B5" w:rsidRDefault="00074C4C" w:rsidP="00074C4C">
      <w:pPr>
        <w:suppressAutoHyphens/>
        <w:rPr>
          <w:rFonts w:ascii="Garamond" w:hAnsi="Garamond"/>
          <w:kern w:val="28"/>
          <w:sz w:val="24"/>
        </w:rPr>
      </w:pP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0F6D5005" w14:textId="77777777" w:rsidR="00074C4C" w:rsidRPr="009A15B5" w:rsidRDefault="00074C4C" w:rsidP="00074C4C">
      <w:pPr>
        <w:suppressAutoHyphens/>
        <w:rPr>
          <w:rFonts w:ascii="Garamond" w:hAnsi="Garamond"/>
          <w:kern w:val="28"/>
          <w:sz w:val="24"/>
        </w:rPr>
      </w:pPr>
      <w:permStart w:id="739535953" w:edGrp="everyone"/>
      <w:r w:rsidRPr="00177ADA">
        <w:rPr>
          <w:rFonts w:ascii="Garamond" w:hAnsi="Garamond"/>
          <w:kern w:val="28"/>
          <w:sz w:val="24"/>
        </w:rPr>
        <w:t>We are in favour to make it coherent and consist</w:t>
      </w:r>
      <w:r>
        <w:rPr>
          <w:rFonts w:ascii="Garamond" w:hAnsi="Garamond"/>
          <w:kern w:val="28"/>
          <w:sz w:val="24"/>
        </w:rPr>
        <w:t>ent</w:t>
      </w:r>
      <w:r w:rsidRPr="00177ADA">
        <w:rPr>
          <w:rFonts w:ascii="Garamond" w:hAnsi="Garamond"/>
          <w:kern w:val="28"/>
          <w:sz w:val="24"/>
        </w:rPr>
        <w:t xml:space="preserve"> with the data observed, although</w:t>
      </w:r>
      <w:r>
        <w:rPr>
          <w:rFonts w:ascii="Garamond" w:hAnsi="Garamond"/>
          <w:kern w:val="28"/>
          <w:sz w:val="24"/>
        </w:rPr>
        <w:t>,</w:t>
      </w:r>
      <w:r w:rsidRPr="00177ADA">
        <w:rPr>
          <w:rFonts w:ascii="Garamond" w:hAnsi="Garamond"/>
          <w:kern w:val="28"/>
          <w:sz w:val="24"/>
        </w:rPr>
        <w:t xml:space="preserve"> if that is the case, it must be </w:t>
      </w:r>
      <w:r>
        <w:rPr>
          <w:rFonts w:ascii="Garamond" w:hAnsi="Garamond"/>
          <w:kern w:val="28"/>
          <w:sz w:val="24"/>
        </w:rPr>
        <w:t>noted</w:t>
      </w:r>
      <w:r w:rsidRPr="00177ADA">
        <w:rPr>
          <w:rFonts w:ascii="Garamond" w:hAnsi="Garamond"/>
          <w:kern w:val="28"/>
          <w:sz w:val="24"/>
        </w:rPr>
        <w:t xml:space="preserve"> in the report</w:t>
      </w:r>
      <w:r>
        <w:rPr>
          <w:rFonts w:ascii="Garamond" w:hAnsi="Garamond"/>
          <w:kern w:val="28"/>
          <w:sz w:val="24"/>
        </w:rPr>
        <w:t>.</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5B8C9209" w14:textId="77777777" w:rsidR="00074C4C" w:rsidRPr="009A15B5" w:rsidRDefault="00074C4C" w:rsidP="00074C4C">
      <w:pPr>
        <w:suppressAutoHyphens/>
        <w:rPr>
          <w:rFonts w:ascii="Garamond" w:hAnsi="Garamond"/>
          <w:kern w:val="28"/>
          <w:sz w:val="24"/>
        </w:rPr>
      </w:pPr>
      <w:permStart w:id="225396737" w:edGrp="everyone"/>
      <w:r w:rsidRPr="009A15B5">
        <w:rPr>
          <w:rFonts w:ascii="Garamond" w:hAnsi="Garamond"/>
          <w:kern w:val="28"/>
          <w:sz w:val="24"/>
        </w:rPr>
        <w:t>If the stress scenario is to be kept, the growth rate of the performance scenario should never be less than the growth rate of the stress scenario.</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335B639A" w14:textId="77777777" w:rsidR="00074C4C" w:rsidRDefault="00074C4C" w:rsidP="00074C4C">
      <w:pPr>
        <w:suppressAutoHyphens/>
        <w:rPr>
          <w:rFonts w:ascii="Garamond" w:hAnsi="Garamond"/>
          <w:kern w:val="28"/>
          <w:sz w:val="24"/>
        </w:rPr>
      </w:pPr>
      <w:permStart w:id="1687822303" w:edGrp="everyone"/>
      <w:r w:rsidRPr="009A15B5">
        <w:rPr>
          <w:rFonts w:ascii="Garamond" w:hAnsi="Garamond"/>
          <w:kern w:val="28"/>
          <w:sz w:val="24"/>
        </w:rPr>
        <w:t>We generally welcome more simplified approaches</w:t>
      </w:r>
      <w:r>
        <w:rPr>
          <w:rFonts w:ascii="Garamond" w:hAnsi="Garamond"/>
          <w:kern w:val="28"/>
          <w:sz w:val="24"/>
        </w:rPr>
        <w:t xml:space="preserve">, however we believe that this </w:t>
      </w:r>
      <w:r w:rsidRPr="00177ADA">
        <w:rPr>
          <w:rFonts w:ascii="Garamond" w:hAnsi="Garamond"/>
          <w:kern w:val="28"/>
          <w:sz w:val="24"/>
        </w:rPr>
        <w:t xml:space="preserve">approach is not </w:t>
      </w:r>
      <w:proofErr w:type="gramStart"/>
      <w:r w:rsidRPr="00177ADA">
        <w:rPr>
          <w:rFonts w:ascii="Garamond" w:hAnsi="Garamond"/>
          <w:kern w:val="28"/>
          <w:sz w:val="24"/>
        </w:rPr>
        <w:t>taking into account</w:t>
      </w:r>
      <w:proofErr w:type="gramEnd"/>
      <w:r w:rsidRPr="00177ADA">
        <w:rPr>
          <w:rFonts w:ascii="Garamond" w:hAnsi="Garamond"/>
          <w:kern w:val="28"/>
          <w:sz w:val="24"/>
        </w:rPr>
        <w:t xml:space="preserve"> the country</w:t>
      </w:r>
      <w:r>
        <w:rPr>
          <w:rFonts w:ascii="Garamond" w:hAnsi="Garamond"/>
          <w:kern w:val="28"/>
          <w:sz w:val="24"/>
        </w:rPr>
        <w:t>-</w:t>
      </w:r>
      <w:r w:rsidRPr="00177ADA">
        <w:rPr>
          <w:rFonts w:ascii="Garamond" w:hAnsi="Garamond"/>
          <w:kern w:val="28"/>
          <w:sz w:val="24"/>
        </w:rPr>
        <w:t>specific assets or the alpha of the investment strategy. It is the same as measuring the returns by a benchmark.</w:t>
      </w:r>
    </w:p>
    <w:p w14:paraId="5408C876" w14:textId="77777777" w:rsidR="00074C4C" w:rsidRPr="009A15B5" w:rsidRDefault="00074C4C" w:rsidP="00074C4C">
      <w:pPr>
        <w:suppressAutoHyphens/>
        <w:rPr>
          <w:rFonts w:ascii="Garamond" w:hAnsi="Garamond"/>
          <w:kern w:val="28"/>
          <w:sz w:val="24"/>
        </w:rPr>
      </w:pPr>
      <w:proofErr w:type="gramStart"/>
      <w:r>
        <w:rPr>
          <w:rFonts w:ascii="Garamond" w:hAnsi="Garamond"/>
          <w:kern w:val="28"/>
          <w:sz w:val="24"/>
        </w:rPr>
        <w:lastRenderedPageBreak/>
        <w:t>Moreover</w:t>
      </w:r>
      <w:proofErr w:type="gramEnd"/>
      <w:r>
        <w:rPr>
          <w:rFonts w:ascii="Garamond" w:hAnsi="Garamond"/>
          <w:kern w:val="28"/>
          <w:sz w:val="24"/>
        </w:rPr>
        <w:t xml:space="preserve"> </w:t>
      </w:r>
      <w:r w:rsidRPr="009A15B5">
        <w:rPr>
          <w:rFonts w:ascii="Garamond" w:hAnsi="Garamond"/>
          <w:kern w:val="28"/>
          <w:sz w:val="24"/>
        </w:rPr>
        <w:t>specifying maximum growth rates and using historical drifts up to the maximum growth rate is inferior to and not less complex than the current proposal presented in our response to Q 10, i.e. to use a fixed ERP for equities.</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5BC8D42F" w14:textId="77777777" w:rsidR="00074C4C" w:rsidRPr="00CB7E94" w:rsidRDefault="00074C4C" w:rsidP="00074C4C">
      <w:pPr>
        <w:suppressAutoHyphens/>
        <w:rPr>
          <w:rFonts w:ascii="Garamond" w:hAnsi="Garamond"/>
          <w:kern w:val="28"/>
          <w:sz w:val="24"/>
        </w:rPr>
      </w:pPr>
      <w:permStart w:id="669663577" w:edGrp="everyone"/>
      <w:r w:rsidRPr="00CB7E94">
        <w:rPr>
          <w:rFonts w:ascii="Garamond" w:hAnsi="Garamond"/>
          <w:kern w:val="28"/>
          <w:sz w:val="24"/>
        </w:rPr>
        <w:t xml:space="preserve">We think that it is not appropriate, and it is possible that there is a lack of prediction. It would be useful </w:t>
      </w:r>
      <w:r>
        <w:rPr>
          <w:rFonts w:ascii="Garamond" w:hAnsi="Garamond"/>
          <w:kern w:val="28"/>
          <w:sz w:val="24"/>
        </w:rPr>
        <w:t>to have</w:t>
      </w:r>
      <w:r w:rsidRPr="00CB7E94">
        <w:rPr>
          <w:rFonts w:ascii="Garamond" w:hAnsi="Garamond"/>
          <w:kern w:val="28"/>
          <w:sz w:val="24"/>
        </w:rPr>
        <w:t xml:space="preserve"> a more elaborated table with more cases.</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33393745" w14:textId="77777777" w:rsidR="00074C4C" w:rsidRDefault="00074C4C" w:rsidP="00074C4C">
      <w:pPr>
        <w:suppressAutoHyphens/>
        <w:rPr>
          <w:rFonts w:ascii="Garamond" w:hAnsi="Garamond"/>
          <w:kern w:val="28"/>
          <w:sz w:val="24"/>
        </w:rPr>
      </w:pPr>
      <w:permStart w:id="806708611" w:edGrp="everyone"/>
      <w:r w:rsidRPr="009A15B5">
        <w:rPr>
          <w:rFonts w:ascii="Garamond" w:hAnsi="Garamond"/>
          <w:kern w:val="28"/>
          <w:sz w:val="24"/>
        </w:rPr>
        <w:t xml:space="preserve">No, the methodology should be compatible for Category 2 and Category 3 products and should not differentiate between short- and </w:t>
      </w:r>
      <w:proofErr w:type="spellStart"/>
      <w:r w:rsidRPr="009A15B5">
        <w:rPr>
          <w:rFonts w:ascii="Garamond" w:hAnsi="Garamond"/>
          <w:kern w:val="28"/>
          <w:sz w:val="24"/>
        </w:rPr>
        <w:t>longterm</w:t>
      </w:r>
      <w:proofErr w:type="spellEnd"/>
      <w:r w:rsidRPr="009A15B5">
        <w:rPr>
          <w:rFonts w:ascii="Garamond" w:hAnsi="Garamond"/>
          <w:kern w:val="28"/>
          <w:sz w:val="24"/>
        </w:rPr>
        <w:t>.</w:t>
      </w:r>
    </w:p>
    <w:p w14:paraId="350A2CF5" w14:textId="77777777" w:rsidR="00074C4C" w:rsidRPr="009A15B5" w:rsidRDefault="00074C4C" w:rsidP="00074C4C">
      <w:pPr>
        <w:suppressAutoHyphens/>
        <w:rPr>
          <w:rFonts w:ascii="Garamond" w:hAnsi="Garamond"/>
          <w:kern w:val="28"/>
          <w:sz w:val="24"/>
        </w:rPr>
      </w:pPr>
      <w:r w:rsidRPr="00CB7E94">
        <w:rPr>
          <w:rFonts w:ascii="Garamond" w:hAnsi="Garamond"/>
          <w:kern w:val="28"/>
          <w:sz w:val="24"/>
        </w:rPr>
        <w:t>We consider that it will be challenge to model portfolios with a diverse asset allocation and the Structured products where simulations by asset can be computationally challeng</w:t>
      </w:r>
      <w:r>
        <w:rPr>
          <w:rFonts w:ascii="Garamond" w:hAnsi="Garamond"/>
          <w:kern w:val="28"/>
          <w:sz w:val="24"/>
        </w:rPr>
        <w:t>ing.</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254CA37A" w14:textId="77777777" w:rsidR="00074C4C" w:rsidRPr="00CB7E94" w:rsidRDefault="00074C4C" w:rsidP="00074C4C">
      <w:pPr>
        <w:suppressAutoHyphens/>
        <w:rPr>
          <w:rFonts w:ascii="Garamond" w:hAnsi="Garamond"/>
          <w:kern w:val="28"/>
          <w:sz w:val="24"/>
        </w:rPr>
      </w:pPr>
      <w:permStart w:id="2245015" w:edGrp="everyone"/>
      <w:r w:rsidRPr="00CB7E94">
        <w:rPr>
          <w:rFonts w:ascii="Garamond" w:hAnsi="Garamond"/>
          <w:kern w:val="28"/>
          <w:sz w:val="24"/>
        </w:rPr>
        <w:t xml:space="preserve">CAPM can be efficient for very liquid assets. </w:t>
      </w:r>
      <w:proofErr w:type="gramStart"/>
      <w:r w:rsidRPr="00CB7E94">
        <w:rPr>
          <w:rFonts w:ascii="Garamond" w:hAnsi="Garamond"/>
          <w:kern w:val="28"/>
          <w:sz w:val="24"/>
        </w:rPr>
        <w:t>Taking into account</w:t>
      </w:r>
      <w:proofErr w:type="gramEnd"/>
      <w:r w:rsidRPr="00CB7E94">
        <w:rPr>
          <w:rFonts w:ascii="Garamond" w:hAnsi="Garamond"/>
          <w:kern w:val="28"/>
          <w:sz w:val="24"/>
        </w:rPr>
        <w:t xml:space="preserve"> one index probably is not enough and it can be extended to use indexes by country. One of the main drawbacks are hedge funds and other real assets where the distribution of the assets </w:t>
      </w:r>
      <w:proofErr w:type="gramStart"/>
      <w:r w:rsidRPr="00CB7E94">
        <w:rPr>
          <w:rFonts w:ascii="Garamond" w:hAnsi="Garamond"/>
          <w:kern w:val="28"/>
          <w:sz w:val="24"/>
        </w:rPr>
        <w:t>are</w:t>
      </w:r>
      <w:proofErr w:type="gramEnd"/>
      <w:r w:rsidRPr="00CB7E94">
        <w:rPr>
          <w:rFonts w:ascii="Garamond" w:hAnsi="Garamond"/>
          <w:kern w:val="28"/>
          <w:sz w:val="24"/>
        </w:rPr>
        <w:t xml:space="preserve"> very different from the indexes, for example, quoting the price monthly and observing jumps. In these cases, the model won’t be efficient and the R^2 ratio will be very low. </w:t>
      </w:r>
    </w:p>
    <w:p w14:paraId="08285411" w14:textId="77777777" w:rsidR="00074C4C" w:rsidRPr="00CB7E94" w:rsidRDefault="00074C4C" w:rsidP="00074C4C">
      <w:pPr>
        <w:suppressAutoHyphens/>
        <w:rPr>
          <w:rFonts w:ascii="Garamond" w:hAnsi="Garamond"/>
          <w:kern w:val="28"/>
          <w:sz w:val="24"/>
        </w:rPr>
      </w:pPr>
      <w:r w:rsidRPr="00CB7E94">
        <w:rPr>
          <w:rFonts w:ascii="Garamond" w:hAnsi="Garamond"/>
          <w:kern w:val="28"/>
          <w:sz w:val="24"/>
        </w:rPr>
        <w:t xml:space="preserve">Proposals b) and c) must be studied. It can be challenging </w:t>
      </w:r>
      <w:r>
        <w:rPr>
          <w:rFonts w:ascii="Garamond" w:hAnsi="Garamond"/>
          <w:kern w:val="28"/>
          <w:sz w:val="24"/>
        </w:rPr>
        <w:t xml:space="preserve">to </w:t>
      </w:r>
      <w:r w:rsidRPr="00CB7E94">
        <w:rPr>
          <w:rFonts w:ascii="Garamond" w:hAnsi="Garamond"/>
          <w:kern w:val="28"/>
          <w:sz w:val="24"/>
        </w:rPr>
        <w:t>manage all the data necessary to do these computations. In case b), it can be challenging</w:t>
      </w:r>
      <w:r>
        <w:rPr>
          <w:rFonts w:ascii="Garamond" w:hAnsi="Garamond"/>
          <w:kern w:val="28"/>
          <w:sz w:val="24"/>
        </w:rPr>
        <w:t xml:space="preserve"> to</w:t>
      </w:r>
      <w:r w:rsidRPr="00CB7E94">
        <w:rPr>
          <w:rFonts w:ascii="Garamond" w:hAnsi="Garamond"/>
          <w:kern w:val="28"/>
          <w:sz w:val="24"/>
        </w:rPr>
        <w:t xml:space="preserve"> find a benchmark to measure the sharp ratio</w:t>
      </w:r>
      <w:r>
        <w:rPr>
          <w:rFonts w:ascii="Garamond" w:hAnsi="Garamond"/>
          <w:kern w:val="28"/>
          <w:sz w:val="24"/>
        </w:rPr>
        <w:t>.</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540B6314" w14:textId="77777777" w:rsidR="00074C4C" w:rsidRPr="009A15B5" w:rsidRDefault="00074C4C" w:rsidP="00074C4C">
      <w:pPr>
        <w:suppressAutoHyphens/>
        <w:rPr>
          <w:rFonts w:ascii="Garamond" w:hAnsi="Garamond"/>
          <w:kern w:val="28"/>
          <w:sz w:val="24"/>
        </w:rPr>
      </w:pPr>
      <w:permStart w:id="1182486711" w:edGrp="everyone"/>
      <w:r w:rsidRPr="009A15B5">
        <w:rPr>
          <w:rFonts w:ascii="Garamond" w:hAnsi="Garamond"/>
          <w:kern w:val="28"/>
          <w:sz w:val="24"/>
        </w:rPr>
        <w:t>No, the list of alternative approaches is</w:t>
      </w:r>
      <w:r>
        <w:rPr>
          <w:rFonts w:ascii="Garamond" w:hAnsi="Garamond"/>
          <w:kern w:val="28"/>
          <w:sz w:val="24"/>
        </w:rPr>
        <w:t>,</w:t>
      </w:r>
      <w:r w:rsidRPr="009A15B5">
        <w:rPr>
          <w:rFonts w:ascii="Garamond" w:hAnsi="Garamond"/>
          <w:kern w:val="28"/>
          <w:sz w:val="24"/>
        </w:rPr>
        <w:t xml:space="preserve"> in our view</w:t>
      </w:r>
      <w:r>
        <w:rPr>
          <w:rFonts w:ascii="Garamond" w:hAnsi="Garamond"/>
          <w:kern w:val="28"/>
          <w:sz w:val="24"/>
        </w:rPr>
        <w:t>,</w:t>
      </w:r>
      <w:r w:rsidRPr="009A15B5">
        <w:rPr>
          <w:rFonts w:ascii="Garamond" w:hAnsi="Garamond"/>
          <w:kern w:val="28"/>
          <w:sz w:val="24"/>
        </w:rPr>
        <w:t xml:space="preserve"> comprehensive enough.</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183964F6" w14:textId="77777777" w:rsidR="00074C4C" w:rsidRPr="009A15B5" w:rsidRDefault="00074C4C" w:rsidP="00074C4C">
      <w:pPr>
        <w:suppressAutoHyphens/>
        <w:rPr>
          <w:rFonts w:ascii="Garamond" w:hAnsi="Garamond"/>
          <w:kern w:val="28"/>
          <w:sz w:val="24"/>
        </w:rPr>
      </w:pPr>
      <w:permStart w:id="1634935588" w:edGrp="everyone"/>
      <w:r w:rsidRPr="00CB7E94">
        <w:rPr>
          <w:rFonts w:ascii="Garamond" w:hAnsi="Garamond"/>
          <w:kern w:val="28"/>
          <w:sz w:val="24"/>
        </w:rPr>
        <w:lastRenderedPageBreak/>
        <w:t xml:space="preserve">We </w:t>
      </w:r>
      <w:r>
        <w:rPr>
          <w:rFonts w:ascii="Garamond" w:hAnsi="Garamond"/>
          <w:kern w:val="28"/>
          <w:sz w:val="24"/>
        </w:rPr>
        <w:t xml:space="preserve">believe </w:t>
      </w:r>
      <w:r w:rsidRPr="00CB7E94">
        <w:rPr>
          <w:rFonts w:ascii="Garamond" w:hAnsi="Garamond"/>
          <w:kern w:val="28"/>
          <w:sz w:val="24"/>
        </w:rPr>
        <w:t xml:space="preserve">that illustrative scenarios should be included when the </w:t>
      </w:r>
      <w:r>
        <w:rPr>
          <w:rFonts w:ascii="Garamond" w:hAnsi="Garamond"/>
          <w:kern w:val="28"/>
          <w:sz w:val="24"/>
        </w:rPr>
        <w:t>p</w:t>
      </w:r>
      <w:r w:rsidRPr="00CB7E94">
        <w:rPr>
          <w:rFonts w:ascii="Garamond" w:hAnsi="Garamond"/>
          <w:kern w:val="28"/>
          <w:sz w:val="24"/>
        </w:rPr>
        <w:t xml:space="preserve">ayoff of the product is complicated. </w:t>
      </w:r>
      <w:r w:rsidRPr="009A15B5">
        <w:rPr>
          <w:rFonts w:ascii="Garamond" w:hAnsi="Garamond"/>
          <w:kern w:val="28"/>
          <w:sz w:val="24"/>
        </w:rPr>
        <w:t xml:space="preserve">However, </w:t>
      </w:r>
      <w:r>
        <w:rPr>
          <w:rFonts w:ascii="Garamond" w:hAnsi="Garamond"/>
          <w:kern w:val="28"/>
          <w:sz w:val="24"/>
        </w:rPr>
        <w:t xml:space="preserve">in relation to question 23, we </w:t>
      </w:r>
      <w:r w:rsidRPr="009A15B5">
        <w:rPr>
          <w:rFonts w:ascii="Garamond" w:hAnsi="Garamond"/>
          <w:kern w:val="28"/>
          <w:sz w:val="24"/>
        </w:rPr>
        <w:t xml:space="preserve">think that due to the limitation to three pages in the PRIIPs Regulation, it is impossible to include </w:t>
      </w:r>
      <w:r>
        <w:rPr>
          <w:rFonts w:ascii="Garamond" w:hAnsi="Garamond"/>
          <w:kern w:val="28"/>
          <w:sz w:val="24"/>
        </w:rPr>
        <w:t xml:space="preserve">illustrative scenarios </w:t>
      </w:r>
      <w:r w:rsidRPr="009A15B5">
        <w:rPr>
          <w:rFonts w:ascii="Garamond" w:hAnsi="Garamond"/>
          <w:kern w:val="28"/>
          <w:sz w:val="24"/>
        </w:rPr>
        <w:t>into the KID in addition to the probabilistic scenarios. Also, additional scenarios might deteriorate the comprehensibility of the KID even further as the investor is already overloaded with information and most likely would not understand the difference between probabilistic and illustrative scenarios. Therefore, it is appropriate to stick to one methodology.</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0E85851D" w14:textId="77777777" w:rsidR="00074C4C" w:rsidRPr="009A15B5" w:rsidRDefault="00074C4C" w:rsidP="00074C4C">
      <w:pPr>
        <w:suppressAutoHyphens/>
        <w:rPr>
          <w:rFonts w:ascii="Garamond" w:hAnsi="Garamond"/>
          <w:kern w:val="28"/>
          <w:sz w:val="24"/>
        </w:rPr>
      </w:pPr>
      <w:permStart w:id="872961277" w:edGrp="everyone"/>
      <w:r w:rsidRPr="00CB7E94">
        <w:rPr>
          <w:rFonts w:ascii="Garamond" w:hAnsi="Garamond"/>
          <w:kern w:val="28"/>
          <w:sz w:val="24"/>
        </w:rPr>
        <w:t xml:space="preserve">We </w:t>
      </w:r>
      <w:r>
        <w:rPr>
          <w:rFonts w:ascii="Garamond" w:hAnsi="Garamond"/>
          <w:kern w:val="28"/>
          <w:sz w:val="24"/>
        </w:rPr>
        <w:t xml:space="preserve">believe </w:t>
      </w:r>
      <w:r w:rsidRPr="00CB7E94">
        <w:rPr>
          <w:rFonts w:ascii="Garamond" w:hAnsi="Garamond"/>
          <w:kern w:val="28"/>
          <w:sz w:val="24"/>
        </w:rPr>
        <w:t xml:space="preserve">that illustrative scenarios should be included when the </w:t>
      </w:r>
      <w:r>
        <w:rPr>
          <w:rFonts w:ascii="Garamond" w:hAnsi="Garamond"/>
          <w:kern w:val="28"/>
          <w:sz w:val="24"/>
        </w:rPr>
        <w:t>p</w:t>
      </w:r>
      <w:r w:rsidRPr="00CB7E94">
        <w:rPr>
          <w:rFonts w:ascii="Garamond" w:hAnsi="Garamond"/>
          <w:kern w:val="28"/>
          <w:sz w:val="24"/>
        </w:rPr>
        <w:t>ayoff of the product is complicated.</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26FF987F" w14:textId="77777777" w:rsidR="00074C4C" w:rsidRPr="00CD3FC9" w:rsidRDefault="00074C4C" w:rsidP="00074C4C">
      <w:pPr>
        <w:suppressAutoHyphens/>
        <w:rPr>
          <w:rFonts w:ascii="Garamond" w:hAnsi="Garamond"/>
          <w:kern w:val="28"/>
          <w:sz w:val="24"/>
        </w:rPr>
      </w:pPr>
      <w:permStart w:id="374105505" w:edGrp="everyone"/>
      <w:r w:rsidRPr="00CB7E94">
        <w:rPr>
          <w:rFonts w:ascii="Garamond" w:hAnsi="Garamond"/>
          <w:kern w:val="28"/>
          <w:sz w:val="24"/>
        </w:rPr>
        <w:t xml:space="preserve">We </w:t>
      </w:r>
      <w:r>
        <w:rPr>
          <w:rFonts w:ascii="Garamond" w:hAnsi="Garamond"/>
          <w:kern w:val="28"/>
          <w:sz w:val="24"/>
        </w:rPr>
        <w:t xml:space="preserve">believe </w:t>
      </w:r>
      <w:r w:rsidRPr="00CB7E94">
        <w:rPr>
          <w:rFonts w:ascii="Garamond" w:hAnsi="Garamond"/>
          <w:kern w:val="28"/>
          <w:sz w:val="24"/>
        </w:rPr>
        <w:t xml:space="preserve">that illustrative scenarios should be included when the </w:t>
      </w:r>
      <w:r>
        <w:rPr>
          <w:rFonts w:ascii="Garamond" w:hAnsi="Garamond"/>
          <w:kern w:val="28"/>
          <w:sz w:val="24"/>
        </w:rPr>
        <w:t>p</w:t>
      </w:r>
      <w:r w:rsidRPr="00CB7E94">
        <w:rPr>
          <w:rFonts w:ascii="Garamond" w:hAnsi="Garamond"/>
          <w:kern w:val="28"/>
          <w:sz w:val="24"/>
        </w:rPr>
        <w:t>ayoff of the product is complicated.</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78729A9D" w14:textId="02BAEFDA" w:rsidR="00074C4C" w:rsidRDefault="00074C4C" w:rsidP="00074C4C">
      <w:pPr>
        <w:suppressAutoHyphens/>
        <w:rPr>
          <w:rFonts w:ascii="Garamond" w:hAnsi="Garamond"/>
          <w:kern w:val="28"/>
          <w:sz w:val="24"/>
        </w:rPr>
      </w:pPr>
      <w:permStart w:id="624894902" w:edGrp="everyone"/>
      <w:r w:rsidRPr="00347B16">
        <w:rPr>
          <w:rFonts w:ascii="Garamond" w:hAnsi="Garamond"/>
          <w:kern w:val="28"/>
          <w:sz w:val="24"/>
          <w:lang w:val="en-US"/>
        </w:rPr>
        <w:t xml:space="preserve">In case of inclusion of information on past performance in the KID, the same methodology and approach to disclosure should be applied </w:t>
      </w:r>
      <w:r>
        <w:rPr>
          <w:rFonts w:ascii="Garamond" w:hAnsi="Garamond"/>
          <w:kern w:val="28"/>
          <w:sz w:val="24"/>
          <w:lang w:val="en-US"/>
        </w:rPr>
        <w:t>as</w:t>
      </w:r>
      <w:r w:rsidRPr="00347B16">
        <w:rPr>
          <w:rFonts w:ascii="Garamond" w:hAnsi="Garamond"/>
          <w:kern w:val="28"/>
          <w:sz w:val="24"/>
          <w:lang w:val="en-US"/>
        </w:rPr>
        <w:t xml:space="preserve"> in the MiFID regulation. It should be avoided that a comparison of MiFID information on past performance and PRIIPs information on past performance regarding the same product could lead to inconsistent results.</w:t>
      </w:r>
    </w:p>
    <w:p w14:paraId="5FA26DD9" w14:textId="77777777" w:rsidR="00074C4C" w:rsidRDefault="00074C4C" w:rsidP="00074C4C">
      <w:pPr>
        <w:suppressAutoHyphens/>
        <w:rPr>
          <w:rFonts w:ascii="Garamond" w:hAnsi="Garamond"/>
          <w:kern w:val="28"/>
          <w:sz w:val="24"/>
        </w:rPr>
      </w:pPr>
    </w:p>
    <w:p w14:paraId="755CFE90" w14:textId="77777777" w:rsidR="00074C4C" w:rsidRDefault="00074C4C" w:rsidP="00074C4C">
      <w:pPr>
        <w:suppressAutoHyphens/>
        <w:rPr>
          <w:rFonts w:ascii="Garamond" w:hAnsi="Garamond"/>
          <w:kern w:val="28"/>
          <w:sz w:val="24"/>
        </w:rPr>
      </w:pPr>
      <w:r>
        <w:rPr>
          <w:rFonts w:ascii="Garamond" w:hAnsi="Garamond"/>
          <w:kern w:val="28"/>
          <w:sz w:val="24"/>
        </w:rPr>
        <w:t xml:space="preserve">In our opinion, </w:t>
      </w:r>
      <w:r w:rsidRPr="00CD3FC9">
        <w:rPr>
          <w:rFonts w:ascii="Garamond" w:hAnsi="Garamond"/>
          <w:kern w:val="28"/>
          <w:sz w:val="24"/>
        </w:rPr>
        <w:t>the inclusion of past performance scenario only makes sense for Category 2 products</w:t>
      </w:r>
      <w:r>
        <w:rPr>
          <w:rFonts w:ascii="Garamond" w:hAnsi="Garamond"/>
          <w:kern w:val="28"/>
          <w:sz w:val="24"/>
        </w:rPr>
        <w:t>.</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188335AE" w14:textId="77777777" w:rsidR="00074C4C" w:rsidRDefault="00074C4C" w:rsidP="00074C4C">
      <w:pPr>
        <w:suppressAutoHyphens/>
        <w:rPr>
          <w:rFonts w:ascii="Garamond" w:hAnsi="Garamond"/>
          <w:kern w:val="28"/>
          <w:sz w:val="24"/>
        </w:rPr>
      </w:pPr>
      <w:permStart w:id="1007688109" w:edGrp="everyone"/>
      <w:proofErr w:type="gramStart"/>
      <w:r w:rsidRPr="00CD3FC9">
        <w:rPr>
          <w:rFonts w:ascii="Garamond" w:hAnsi="Garamond"/>
          <w:kern w:val="28"/>
          <w:sz w:val="24"/>
        </w:rPr>
        <w:t>As long as</w:t>
      </w:r>
      <w:proofErr w:type="gramEnd"/>
      <w:r w:rsidRPr="00CD3FC9">
        <w:rPr>
          <w:rFonts w:ascii="Garamond" w:hAnsi="Garamond"/>
          <w:kern w:val="28"/>
          <w:sz w:val="24"/>
        </w:rPr>
        <w:t xml:space="preserve"> the length limitation for the KID is 3 pages, it is very difficult to add past scenarios or more narratives, additional to the current ones</w:t>
      </w:r>
      <w:r>
        <w:rPr>
          <w:rFonts w:ascii="Garamond" w:hAnsi="Garamond"/>
          <w:kern w:val="28"/>
          <w:sz w:val="24"/>
        </w:rPr>
        <w:t>.</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lastRenderedPageBreak/>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62B0A59D" w14:textId="77777777" w:rsidR="00074C4C" w:rsidRDefault="00074C4C" w:rsidP="00074C4C">
      <w:pPr>
        <w:suppressAutoHyphens/>
        <w:rPr>
          <w:rFonts w:ascii="Garamond" w:hAnsi="Garamond"/>
          <w:kern w:val="28"/>
          <w:sz w:val="24"/>
        </w:rPr>
      </w:pPr>
      <w:permStart w:id="1152679739" w:edGrp="everyone"/>
      <w:r w:rsidRPr="00CD3FC9">
        <w:rPr>
          <w:rFonts w:ascii="Garamond" w:hAnsi="Garamond"/>
          <w:kern w:val="28"/>
          <w:sz w:val="24"/>
        </w:rPr>
        <w:t>Yes, it seems appropriate, but</w:t>
      </w:r>
      <w:r>
        <w:rPr>
          <w:rFonts w:ascii="Garamond" w:hAnsi="Garamond"/>
          <w:kern w:val="28"/>
          <w:sz w:val="24"/>
        </w:rPr>
        <w:t xml:space="preserve"> in</w:t>
      </w:r>
      <w:r w:rsidRPr="00CD3FC9">
        <w:rPr>
          <w:rFonts w:ascii="Garamond" w:hAnsi="Garamond"/>
          <w:kern w:val="28"/>
          <w:sz w:val="24"/>
        </w:rPr>
        <w:t xml:space="preserve"> our </w:t>
      </w:r>
      <w:proofErr w:type="gramStart"/>
      <w:r w:rsidRPr="00CD3FC9">
        <w:rPr>
          <w:rFonts w:ascii="Garamond" w:hAnsi="Garamond"/>
          <w:kern w:val="28"/>
          <w:sz w:val="24"/>
        </w:rPr>
        <w:t>opinion</w:t>
      </w:r>
      <w:proofErr w:type="gramEnd"/>
      <w:r w:rsidRPr="00CD3FC9">
        <w:rPr>
          <w:rFonts w:ascii="Garamond" w:hAnsi="Garamond"/>
          <w:kern w:val="28"/>
          <w:sz w:val="24"/>
        </w:rPr>
        <w:t xml:space="preserve"> </w:t>
      </w:r>
      <w:r>
        <w:rPr>
          <w:rFonts w:ascii="Garamond" w:hAnsi="Garamond"/>
          <w:kern w:val="28"/>
          <w:sz w:val="24"/>
        </w:rPr>
        <w:t xml:space="preserve">it </w:t>
      </w:r>
      <w:r w:rsidRPr="00CD3FC9">
        <w:rPr>
          <w:rFonts w:ascii="Garamond" w:hAnsi="Garamond"/>
          <w:kern w:val="28"/>
          <w:sz w:val="24"/>
        </w:rPr>
        <w:t>depends on the inclusion of the past performance.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2CAEA125" w14:textId="77777777" w:rsidR="00074C4C" w:rsidRDefault="00074C4C" w:rsidP="00074C4C">
      <w:pPr>
        <w:suppressAutoHyphens/>
        <w:rPr>
          <w:rFonts w:ascii="Garamond" w:hAnsi="Garamond"/>
          <w:kern w:val="28"/>
          <w:sz w:val="24"/>
        </w:rPr>
      </w:pPr>
      <w:permStart w:id="419824169" w:edGrp="everyone"/>
      <w:r w:rsidRPr="00CD3FC9">
        <w:rPr>
          <w:rFonts w:ascii="Garamond" w:hAnsi="Garamond"/>
          <w:kern w:val="28"/>
          <w:sz w:val="24"/>
        </w:rPr>
        <w:t xml:space="preserve">Past performance does not </w:t>
      </w:r>
      <w:proofErr w:type="gramStart"/>
      <w:r w:rsidRPr="00CD3FC9">
        <w:rPr>
          <w:rFonts w:ascii="Garamond" w:hAnsi="Garamond"/>
          <w:kern w:val="28"/>
          <w:sz w:val="24"/>
        </w:rPr>
        <w:t>take into account</w:t>
      </w:r>
      <w:proofErr w:type="gramEnd"/>
      <w:r w:rsidRPr="00CD3FC9">
        <w:rPr>
          <w:rFonts w:ascii="Garamond" w:hAnsi="Garamond"/>
          <w:kern w:val="28"/>
          <w:sz w:val="24"/>
        </w:rPr>
        <w:t xml:space="preserve"> the biometric costs that are included in the future scenarios. Some clarification may be needed to avoid any confusion of the client.</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2ECD8C2B" w14:textId="77777777" w:rsidR="00074C4C" w:rsidRDefault="00074C4C" w:rsidP="00074C4C">
      <w:pPr>
        <w:suppressAutoHyphens/>
        <w:rPr>
          <w:rFonts w:ascii="Garamond" w:hAnsi="Garamond"/>
          <w:kern w:val="28"/>
          <w:sz w:val="24"/>
        </w:rPr>
      </w:pPr>
      <w:permStart w:id="503522783" w:edGrp="everyone"/>
      <w:r w:rsidRPr="00CD3FC9">
        <w:rPr>
          <w:rFonts w:ascii="Garamond" w:hAnsi="Garamond"/>
          <w:kern w:val="28"/>
          <w:sz w:val="24"/>
        </w:rPr>
        <w:t>Yes, it would be required.</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7"/>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AF057C2" w14:textId="77777777" w:rsidR="00074C4C" w:rsidRDefault="00074C4C" w:rsidP="00074C4C">
      <w:pPr>
        <w:spacing w:line="360" w:lineRule="auto"/>
        <w:rPr>
          <w:rFonts w:ascii="Garamond" w:eastAsia="Calibri" w:hAnsi="Garamond"/>
          <w:bCs/>
          <w:sz w:val="24"/>
          <w:lang w:eastAsia="en-US"/>
        </w:rPr>
      </w:pPr>
      <w:permStart w:id="1708064826" w:edGrp="everyone"/>
      <w:r w:rsidRPr="00CD3FC9">
        <w:rPr>
          <w:rFonts w:ascii="Garamond" w:eastAsia="Calibri" w:hAnsi="Garamond"/>
          <w:bCs/>
          <w:sz w:val="24"/>
          <w:lang w:eastAsia="en-US"/>
        </w:rPr>
        <w:t xml:space="preserve">We </w:t>
      </w:r>
      <w:r>
        <w:rPr>
          <w:rFonts w:ascii="Garamond" w:eastAsia="Calibri" w:hAnsi="Garamond"/>
          <w:bCs/>
          <w:sz w:val="24"/>
          <w:lang w:eastAsia="en-US"/>
        </w:rPr>
        <w:t xml:space="preserve">would need more time to reply to this question as we would need to perform </w:t>
      </w:r>
      <w:r w:rsidRPr="00CD3FC9">
        <w:rPr>
          <w:rFonts w:ascii="Garamond" w:eastAsia="Calibri" w:hAnsi="Garamond"/>
          <w:bCs/>
          <w:sz w:val="24"/>
          <w:lang w:eastAsia="en-US"/>
        </w:rPr>
        <w:t>further analysis of th</w:t>
      </w:r>
      <w:r>
        <w:rPr>
          <w:rFonts w:ascii="Garamond" w:eastAsia="Calibri" w:hAnsi="Garamond"/>
          <w:bCs/>
          <w:sz w:val="24"/>
          <w:lang w:eastAsia="en-US"/>
        </w:rPr>
        <w:t>is</w:t>
      </w:r>
      <w:r w:rsidRPr="00CD3FC9">
        <w:rPr>
          <w:rFonts w:ascii="Garamond" w:eastAsia="Calibri" w:hAnsi="Garamond"/>
          <w:bCs/>
          <w:sz w:val="24"/>
          <w:lang w:eastAsia="en-US"/>
        </w:rPr>
        <w:t xml:space="preserve"> proposal.</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43E55B62" w14:textId="77777777" w:rsidR="00074C4C" w:rsidRDefault="00074C4C" w:rsidP="00074C4C">
      <w:pPr>
        <w:spacing w:line="360" w:lineRule="auto"/>
        <w:rPr>
          <w:rFonts w:ascii="Garamond" w:eastAsia="Calibri" w:hAnsi="Garamond"/>
          <w:bCs/>
          <w:sz w:val="24"/>
          <w:lang w:eastAsia="en-US"/>
        </w:rPr>
      </w:pPr>
      <w:permStart w:id="320603426" w:edGrp="everyone"/>
      <w:r w:rsidRPr="00CD3FC9">
        <w:rPr>
          <w:rFonts w:ascii="Garamond" w:eastAsia="Calibri" w:hAnsi="Garamond"/>
          <w:bCs/>
          <w:sz w:val="24"/>
          <w:lang w:eastAsia="en-US"/>
        </w:rPr>
        <w:t xml:space="preserve">We </w:t>
      </w:r>
      <w:r>
        <w:rPr>
          <w:rFonts w:ascii="Garamond" w:eastAsia="Calibri" w:hAnsi="Garamond"/>
          <w:bCs/>
          <w:sz w:val="24"/>
          <w:lang w:eastAsia="en-US"/>
        </w:rPr>
        <w:t xml:space="preserve">would need more time to reply to this question as we would need to perform </w:t>
      </w:r>
      <w:r w:rsidRPr="00CD3FC9">
        <w:rPr>
          <w:rFonts w:ascii="Garamond" w:eastAsia="Calibri" w:hAnsi="Garamond"/>
          <w:bCs/>
          <w:sz w:val="24"/>
          <w:lang w:eastAsia="en-US"/>
        </w:rPr>
        <w:t>further analysis of th</w:t>
      </w:r>
      <w:r>
        <w:rPr>
          <w:rFonts w:ascii="Garamond" w:eastAsia="Calibri" w:hAnsi="Garamond"/>
          <w:bCs/>
          <w:sz w:val="24"/>
          <w:lang w:eastAsia="en-US"/>
        </w:rPr>
        <w:t>is</w:t>
      </w:r>
      <w:r w:rsidRPr="00CD3FC9">
        <w:rPr>
          <w:rFonts w:ascii="Garamond" w:eastAsia="Calibri" w:hAnsi="Garamond"/>
          <w:bCs/>
          <w:sz w:val="24"/>
          <w:lang w:eastAsia="en-US"/>
        </w:rPr>
        <w:t xml:space="preserve"> proposal.</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lastRenderedPageBreak/>
        <w:t>&lt;ESA_QUESTION_PKID_33&gt;</w:t>
      </w:r>
    </w:p>
    <w:p w14:paraId="3AAE8920" w14:textId="77777777" w:rsidR="00074C4C" w:rsidRPr="00896EF4" w:rsidRDefault="00074C4C" w:rsidP="00074C4C">
      <w:pPr>
        <w:suppressAutoHyphens/>
        <w:rPr>
          <w:rFonts w:ascii="Garamond" w:hAnsi="Garamond"/>
          <w:kern w:val="28"/>
          <w:sz w:val="24"/>
        </w:rPr>
      </w:pPr>
      <w:permStart w:id="1802452064" w:edGrp="everyone"/>
      <w:r w:rsidRPr="00896EF4">
        <w:rPr>
          <w:rFonts w:ascii="Garamond" w:hAnsi="Garamond"/>
          <w:kern w:val="28"/>
          <w:sz w:val="24"/>
        </w:rPr>
        <w:t>We believe that negative transaction costs should not be reflected</w:t>
      </w:r>
      <w:r>
        <w:rPr>
          <w:rFonts w:ascii="Garamond" w:hAnsi="Garamond"/>
          <w:kern w:val="28"/>
          <w:sz w:val="24"/>
        </w:rPr>
        <w:t xml:space="preserve">. In our opinion, when </w:t>
      </w:r>
      <w:r w:rsidRPr="00896EF4">
        <w:rPr>
          <w:rFonts w:ascii="Garamond" w:hAnsi="Garamond"/>
          <w:kern w:val="28"/>
          <w:sz w:val="24"/>
        </w:rPr>
        <w:t>the figure result</w:t>
      </w:r>
      <w:r>
        <w:rPr>
          <w:rFonts w:ascii="Garamond" w:hAnsi="Garamond"/>
          <w:kern w:val="28"/>
          <w:sz w:val="24"/>
        </w:rPr>
        <w:t>ed</w:t>
      </w:r>
      <w:r w:rsidRPr="00896EF4">
        <w:rPr>
          <w:rFonts w:ascii="Garamond" w:hAnsi="Garamond"/>
          <w:kern w:val="28"/>
          <w:sz w:val="24"/>
        </w:rPr>
        <w:t xml:space="preserve"> from the calculation is negative, it should be reported as “zero”. It is also considered that for the calculation of the current transaction costs, the costs of the previous year should be taken instead of the three previous years, as proposed by the ESAs. </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56E3A785" w14:textId="77777777" w:rsidR="00074C4C" w:rsidRPr="00B93BD1" w:rsidRDefault="00074C4C" w:rsidP="00074C4C">
      <w:pPr>
        <w:suppressAutoHyphens/>
        <w:rPr>
          <w:rFonts w:ascii="Garamond" w:hAnsi="Garamond"/>
          <w:kern w:val="28"/>
          <w:sz w:val="24"/>
        </w:rPr>
      </w:pPr>
      <w:permStart w:id="1498437863" w:edGrp="everyone"/>
      <w:proofErr w:type="gramStart"/>
      <w:r w:rsidRPr="009A15B5">
        <w:rPr>
          <w:rFonts w:ascii="Garamond" w:hAnsi="Garamond"/>
          <w:kern w:val="28"/>
          <w:sz w:val="24"/>
        </w:rPr>
        <w:t>As long as</w:t>
      </w:r>
      <w:proofErr w:type="gramEnd"/>
      <w:r w:rsidRPr="009A15B5">
        <w:rPr>
          <w:rFonts w:ascii="Garamond" w:hAnsi="Garamond"/>
          <w:kern w:val="28"/>
          <w:sz w:val="24"/>
        </w:rPr>
        <w:t xml:space="preserve"> it follows a clear rule, we support any of the above. </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79A6860C" w14:textId="77777777" w:rsidR="00074C4C" w:rsidRDefault="00074C4C" w:rsidP="00074C4C">
      <w:pPr>
        <w:suppressAutoHyphens/>
        <w:rPr>
          <w:rFonts w:ascii="Garamond" w:hAnsi="Garamond"/>
          <w:kern w:val="28"/>
          <w:sz w:val="24"/>
        </w:rPr>
      </w:pPr>
      <w:permStart w:id="621350576" w:edGrp="everyone"/>
      <w:r w:rsidRPr="00A070BC">
        <w:rPr>
          <w:rFonts w:ascii="Garamond" w:hAnsi="Garamond"/>
          <w:kern w:val="28"/>
          <w:sz w:val="24"/>
        </w:rPr>
        <w:t>Using an annual average cost figure at the recommended holding period favours comparability between products with different RHP.</w:t>
      </w:r>
    </w:p>
    <w:p w14:paraId="6BC4D82F" w14:textId="77777777" w:rsidR="00074C4C" w:rsidRDefault="00074C4C" w:rsidP="003E573C">
      <w:pPr>
        <w:rPr>
          <w:rFonts w:cs="Arial"/>
        </w:rPr>
      </w:pPr>
    </w:p>
    <w:permEnd w:id="621350576"/>
    <w:p w14:paraId="20915542" w14:textId="0BCDA879"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07FC9736" w14:textId="77777777" w:rsidR="00074C4C" w:rsidRDefault="00074C4C" w:rsidP="00074C4C">
      <w:pPr>
        <w:suppressAutoHyphens/>
        <w:rPr>
          <w:rFonts w:ascii="Garamond" w:hAnsi="Garamond"/>
          <w:kern w:val="28"/>
          <w:sz w:val="24"/>
        </w:rPr>
      </w:pPr>
      <w:permStart w:id="354879508" w:edGrp="everyone"/>
      <w:r w:rsidRPr="00896EF4">
        <w:rPr>
          <w:rFonts w:ascii="Garamond" w:hAnsi="Garamond"/>
          <w:kern w:val="28"/>
          <w:sz w:val="24"/>
        </w:rPr>
        <w:t>We do not support showing the total costs as a percentage since this could lead to confusion with the impact on return already expressed as a percentage. Furthermore, as mentioned broader in our answer to Q 7, we think that it is desirable to harmonize the cost presentations under the PRIIPs Regulation and MiFID II. Therefore, both sets of rules should be stronger aligned so that, for example, the ex-ante cost statement is consistent with the cost disclosure in the PRIIPs KID. The alignment should be based on the MiFID II approach as, inter alia, the distributor which is responsible for the cost statement under MiFID is not aware of the cash flow of the moderate scenario</w:t>
      </w:r>
      <w:r>
        <w:rPr>
          <w:rFonts w:ascii="Garamond" w:hAnsi="Garamond"/>
          <w:kern w:val="28"/>
          <w:sz w:val="24"/>
        </w:rPr>
        <w:t>,</w:t>
      </w:r>
      <w:r w:rsidRPr="00896EF4">
        <w:rPr>
          <w:rFonts w:ascii="Garamond" w:hAnsi="Garamond"/>
          <w:kern w:val="28"/>
          <w:sz w:val="24"/>
        </w:rPr>
        <w:t xml:space="preserve"> which is necessary in order to calculate the RIY under PRIIPs. Therefore, the costs under PRIIPs should </w:t>
      </w:r>
      <w:proofErr w:type="gramStart"/>
      <w:r w:rsidRPr="00896EF4">
        <w:rPr>
          <w:rFonts w:ascii="Garamond" w:hAnsi="Garamond"/>
          <w:kern w:val="28"/>
          <w:sz w:val="24"/>
        </w:rPr>
        <w:t>be based on the assumption</w:t>
      </w:r>
      <w:proofErr w:type="gramEnd"/>
      <w:r w:rsidRPr="00896EF4">
        <w:rPr>
          <w:rFonts w:ascii="Garamond" w:hAnsi="Garamond"/>
          <w:kern w:val="28"/>
          <w:sz w:val="24"/>
        </w:rPr>
        <w:t xml:space="preserve"> that there is no yield since this is the only way to align the costs under MiFID and PRIIPs. Furthermore</w:t>
      </w:r>
      <w:r>
        <w:rPr>
          <w:rFonts w:ascii="Garamond" w:hAnsi="Garamond"/>
          <w:kern w:val="28"/>
          <w:sz w:val="24"/>
        </w:rPr>
        <w:t>,</w:t>
      </w:r>
      <w:r w:rsidRPr="00896EF4">
        <w:rPr>
          <w:rFonts w:ascii="Garamond" w:hAnsi="Garamond"/>
          <w:kern w:val="28"/>
          <w:sz w:val="24"/>
        </w:rPr>
        <w:t xml:space="preserve"> the handling of inducements should be aligned so that the figures in the ex</w:t>
      </w:r>
      <w:r>
        <w:rPr>
          <w:rFonts w:ascii="Garamond" w:hAnsi="Garamond"/>
          <w:kern w:val="28"/>
          <w:sz w:val="24"/>
        </w:rPr>
        <w:t>-</w:t>
      </w:r>
      <w:r w:rsidRPr="00896EF4">
        <w:rPr>
          <w:rFonts w:ascii="Garamond" w:hAnsi="Garamond"/>
          <w:kern w:val="28"/>
          <w:sz w:val="24"/>
        </w:rPr>
        <w:t>ante and in the KIDs are the same.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lastRenderedPageBreak/>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56A7B807" w14:textId="77777777" w:rsidR="00074C4C" w:rsidRPr="009A15B5" w:rsidRDefault="00074C4C" w:rsidP="00074C4C">
      <w:pPr>
        <w:suppressAutoHyphens/>
        <w:rPr>
          <w:rFonts w:ascii="Garamond" w:hAnsi="Garamond"/>
          <w:kern w:val="28"/>
          <w:sz w:val="24"/>
        </w:rPr>
      </w:pPr>
      <w:permStart w:id="777852593" w:edGrp="everyone"/>
      <w:r w:rsidRPr="009A15B5">
        <w:rPr>
          <w:rFonts w:ascii="Garamond" w:hAnsi="Garamond"/>
          <w:kern w:val="28"/>
          <w:sz w:val="24"/>
        </w:rPr>
        <w:t>No, not in the form presented. We have serious concerns with respect to the reduction in yield ("RIY") approach. Therefore, the RIY should be abolished</w:t>
      </w:r>
      <w:r>
        <w:rPr>
          <w:rFonts w:ascii="Garamond" w:hAnsi="Garamond"/>
          <w:kern w:val="28"/>
          <w:sz w:val="24"/>
        </w:rPr>
        <w:t xml:space="preserve"> (even if RIY</w:t>
      </w:r>
      <w:r w:rsidRPr="00A070BC">
        <w:rPr>
          <w:rFonts w:cs="Arial"/>
        </w:rPr>
        <w:t xml:space="preserve"> </w:t>
      </w:r>
      <w:r w:rsidRPr="00A070BC">
        <w:rPr>
          <w:rFonts w:ascii="Garamond" w:hAnsi="Garamond"/>
          <w:kern w:val="28"/>
          <w:sz w:val="24"/>
        </w:rPr>
        <w:t>allows</w:t>
      </w:r>
      <w:r>
        <w:rPr>
          <w:rFonts w:ascii="Garamond" w:hAnsi="Garamond"/>
          <w:kern w:val="28"/>
          <w:sz w:val="24"/>
        </w:rPr>
        <w:t xml:space="preserve"> for</w:t>
      </w:r>
      <w:r w:rsidRPr="00A070BC">
        <w:rPr>
          <w:rFonts w:ascii="Garamond" w:hAnsi="Garamond"/>
          <w:kern w:val="28"/>
          <w:sz w:val="24"/>
        </w:rPr>
        <w:t xml:space="preserve"> more comparability between products than showing figures in Euros</w:t>
      </w:r>
      <w:r>
        <w:rPr>
          <w:rFonts w:ascii="Garamond" w:hAnsi="Garamond"/>
          <w:kern w:val="28"/>
          <w:sz w:val="24"/>
        </w:rPr>
        <w:t xml:space="preserve">). </w:t>
      </w:r>
      <w:r w:rsidRPr="009A15B5">
        <w:rPr>
          <w:rFonts w:ascii="Garamond" w:hAnsi="Garamond"/>
          <w:kern w:val="28"/>
          <w:sz w:val="24"/>
        </w:rPr>
        <w:t xml:space="preserve">The RIY calculation can get quite complex and include components (e.g. opportunity costs) and a calculation method (internal rate of return) that are hard to comprehend for a retail investor. In addition, basing the cost calculation on the moderate scenario can have non-transparent effects on the RIY, i.e. a reconciliation of a RIY is only possible if the exact timing and level of cash flows of the moderate scenario path are known. </w:t>
      </w:r>
    </w:p>
    <w:p w14:paraId="7B4BB5FD" w14:textId="77777777" w:rsidR="00074C4C" w:rsidRDefault="00074C4C" w:rsidP="00074C4C">
      <w:pPr>
        <w:suppressAutoHyphens/>
        <w:rPr>
          <w:rFonts w:ascii="Garamond" w:hAnsi="Garamond"/>
          <w:kern w:val="28"/>
          <w:sz w:val="24"/>
        </w:rPr>
      </w:pPr>
      <w:r w:rsidRPr="009A15B5">
        <w:rPr>
          <w:rFonts w:ascii="Garamond" w:hAnsi="Garamond"/>
          <w:kern w:val="28"/>
          <w:sz w:val="24"/>
        </w:rPr>
        <w:t>Therefore, we think it would be best to eliminate the cost disclosure requirements under the PRIIPs Regulation altogether</w:t>
      </w:r>
      <w:r>
        <w:rPr>
          <w:rFonts w:ascii="Garamond" w:hAnsi="Garamond"/>
          <w:kern w:val="28"/>
          <w:sz w:val="24"/>
        </w:rPr>
        <w:t>,</w:t>
      </w:r>
      <w:r w:rsidRPr="009A15B5">
        <w:rPr>
          <w:rFonts w:ascii="Garamond" w:hAnsi="Garamond"/>
          <w:kern w:val="28"/>
          <w:sz w:val="24"/>
        </w:rPr>
        <w:t xml:space="preserve"> as the retail investor receives transparent information on costs and charges of the financial instrument in any case under the MiFID II cost transparency rules. Alternatively, we propose the usage of an annualized total expense ratio (TER) for products with </w:t>
      </w:r>
      <w:proofErr w:type="gramStart"/>
      <w:r w:rsidRPr="009A15B5">
        <w:rPr>
          <w:rFonts w:ascii="Garamond" w:hAnsi="Garamond"/>
          <w:kern w:val="28"/>
          <w:sz w:val="24"/>
        </w:rPr>
        <w:t>a</w:t>
      </w:r>
      <w:proofErr w:type="gramEnd"/>
      <w:r w:rsidRPr="009A15B5">
        <w:rPr>
          <w:rFonts w:ascii="Garamond" w:hAnsi="Garamond"/>
          <w:kern w:val="28"/>
          <w:sz w:val="24"/>
        </w:rPr>
        <w:t xml:space="preserve"> RHP over 1 year which will be consistent with MiFID II and leads to better comparability between products with different recommended holding periods.</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632C528" w14:textId="77777777" w:rsidR="00074C4C" w:rsidRDefault="00074C4C" w:rsidP="00074C4C">
      <w:pPr>
        <w:suppressAutoHyphens/>
        <w:rPr>
          <w:rFonts w:ascii="Garamond" w:hAnsi="Garamond"/>
          <w:kern w:val="28"/>
          <w:sz w:val="24"/>
        </w:rPr>
      </w:pPr>
      <w:permStart w:id="1928422042" w:edGrp="everyone"/>
      <w:r w:rsidRPr="00A070BC">
        <w:rPr>
          <w:rFonts w:ascii="Garamond" w:hAnsi="Garamond"/>
          <w:kern w:val="28"/>
          <w:sz w:val="24"/>
        </w:rPr>
        <w:t xml:space="preserve">In case the table </w:t>
      </w:r>
      <w:proofErr w:type="gramStart"/>
      <w:r w:rsidRPr="00A070BC">
        <w:rPr>
          <w:rFonts w:ascii="Garamond" w:hAnsi="Garamond"/>
          <w:kern w:val="28"/>
          <w:sz w:val="24"/>
        </w:rPr>
        <w:t>has to</w:t>
      </w:r>
      <w:proofErr w:type="gramEnd"/>
      <w:r w:rsidRPr="00A070BC">
        <w:rPr>
          <w:rFonts w:ascii="Garamond" w:hAnsi="Garamond"/>
          <w:kern w:val="28"/>
          <w:sz w:val="24"/>
        </w:rPr>
        <w:t xml:space="preserve"> be revised, we prefer option 1, as it shows RIY both in the aggregated view (table 1) and in the breakdown of different types of costs (table 2)</w:t>
      </w:r>
      <w:r>
        <w:rPr>
          <w:rFonts w:ascii="Garamond" w:hAnsi="Garamond"/>
          <w:kern w:val="28"/>
          <w:sz w:val="24"/>
        </w:rPr>
        <w:t>.</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4033774A" w14:textId="77777777" w:rsidR="00074C4C" w:rsidRPr="009A15B5" w:rsidRDefault="00074C4C" w:rsidP="00074C4C">
      <w:pPr>
        <w:suppressAutoHyphens/>
        <w:rPr>
          <w:rFonts w:ascii="Garamond" w:hAnsi="Garamond"/>
          <w:kern w:val="28"/>
          <w:sz w:val="24"/>
        </w:rPr>
      </w:pPr>
      <w:permStart w:id="855140723" w:edGrp="everyone"/>
      <w:r w:rsidRPr="009A15B5">
        <w:rPr>
          <w:rFonts w:ascii="Garamond" w:hAnsi="Garamond"/>
          <w:kern w:val="28"/>
          <w:sz w:val="24"/>
        </w:rPr>
        <w:t xml:space="preserve">Please see our answer to Q 39. </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7920546C" w14:textId="77777777" w:rsidR="00074C4C" w:rsidRPr="009A15B5" w:rsidRDefault="00074C4C" w:rsidP="00074C4C">
      <w:pPr>
        <w:suppressAutoHyphens/>
        <w:rPr>
          <w:rFonts w:ascii="Garamond" w:hAnsi="Garamond"/>
          <w:kern w:val="28"/>
          <w:sz w:val="24"/>
        </w:rPr>
      </w:pPr>
      <w:permStart w:id="1223957116" w:edGrp="everyone"/>
      <w:r w:rsidRPr="009A15B5">
        <w:rPr>
          <w:rFonts w:ascii="Garamond" w:hAnsi="Garamond"/>
          <w:kern w:val="28"/>
          <w:sz w:val="24"/>
        </w:rPr>
        <w:t xml:space="preserve">Please see our answer to Q 39. </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lastRenderedPageBreak/>
        <w:t>&lt;ESA_QUESTION_PKID_43&gt;</w:t>
      </w:r>
    </w:p>
    <w:p w14:paraId="6B8F2B6D" w14:textId="77777777" w:rsidR="00074C4C" w:rsidRDefault="00074C4C" w:rsidP="00074C4C">
      <w:pPr>
        <w:spacing w:line="360" w:lineRule="auto"/>
        <w:rPr>
          <w:rFonts w:ascii="Garamond" w:eastAsia="Calibri" w:hAnsi="Garamond"/>
          <w:bCs/>
          <w:sz w:val="24"/>
          <w:lang w:eastAsia="en-US"/>
        </w:rPr>
      </w:pPr>
      <w:permStart w:id="1305246923" w:edGrp="everyone"/>
      <w:r w:rsidRPr="00CD3FC9">
        <w:rPr>
          <w:rFonts w:ascii="Garamond" w:eastAsia="Calibri" w:hAnsi="Garamond"/>
          <w:bCs/>
          <w:sz w:val="24"/>
          <w:lang w:eastAsia="en-US"/>
        </w:rPr>
        <w:t xml:space="preserve">We </w:t>
      </w:r>
      <w:r>
        <w:rPr>
          <w:rFonts w:ascii="Garamond" w:eastAsia="Calibri" w:hAnsi="Garamond"/>
          <w:bCs/>
          <w:sz w:val="24"/>
          <w:lang w:eastAsia="en-US"/>
        </w:rPr>
        <w:t xml:space="preserve">would need more time to reply to this question as we would need to perform </w:t>
      </w:r>
      <w:r w:rsidRPr="00CD3FC9">
        <w:rPr>
          <w:rFonts w:ascii="Garamond" w:eastAsia="Calibri" w:hAnsi="Garamond"/>
          <w:bCs/>
          <w:sz w:val="24"/>
          <w:lang w:eastAsia="en-US"/>
        </w:rPr>
        <w:t>further analysis of th</w:t>
      </w:r>
      <w:r>
        <w:rPr>
          <w:rFonts w:ascii="Garamond" w:eastAsia="Calibri" w:hAnsi="Garamond"/>
          <w:bCs/>
          <w:sz w:val="24"/>
          <w:lang w:eastAsia="en-US"/>
        </w:rPr>
        <w:t>is</w:t>
      </w:r>
      <w:r w:rsidRPr="00CD3FC9">
        <w:rPr>
          <w:rFonts w:ascii="Garamond" w:eastAsia="Calibri" w:hAnsi="Garamond"/>
          <w:bCs/>
          <w:sz w:val="24"/>
          <w:lang w:eastAsia="en-US"/>
        </w:rPr>
        <w:t xml:space="preserve"> proposal.</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39B5C732" w14:textId="77777777" w:rsidR="00074C4C" w:rsidRDefault="00074C4C" w:rsidP="00074C4C">
      <w:pPr>
        <w:suppressAutoHyphens/>
        <w:rPr>
          <w:rFonts w:ascii="Garamond" w:hAnsi="Garamond"/>
          <w:kern w:val="28"/>
          <w:sz w:val="24"/>
        </w:rPr>
      </w:pPr>
      <w:permStart w:id="700270871" w:edGrp="everyone"/>
      <w:r>
        <w:rPr>
          <w:rFonts w:ascii="Garamond" w:hAnsi="Garamond"/>
          <w:kern w:val="28"/>
          <w:sz w:val="24"/>
        </w:rPr>
        <w:t>We believe that the</w:t>
      </w:r>
      <w:r w:rsidRPr="000E0D74">
        <w:rPr>
          <w:rFonts w:ascii="Garamond" w:hAnsi="Garamond"/>
          <w:kern w:val="28"/>
          <w:sz w:val="24"/>
        </w:rPr>
        <w:t xml:space="preserve"> coexistence of the UCITS KII and the PRIIPs KID would be a negative outcome in terms of overall clarity and understandability of the EU disclosure requirements. </w:t>
      </w:r>
    </w:p>
    <w:p w14:paraId="0DA79F1C" w14:textId="77777777" w:rsidR="00074C4C" w:rsidRPr="00E224AE" w:rsidRDefault="00074C4C" w:rsidP="00074C4C">
      <w:pPr>
        <w:suppressAutoHyphens/>
        <w:rPr>
          <w:rFonts w:ascii="Garamond" w:hAnsi="Garamond"/>
          <w:kern w:val="28"/>
          <w:sz w:val="24"/>
        </w:rPr>
      </w:pPr>
      <w:r w:rsidRPr="00E224AE">
        <w:rPr>
          <w:rFonts w:ascii="Garamond" w:hAnsi="Garamond"/>
          <w:kern w:val="28"/>
          <w:sz w:val="24"/>
        </w:rPr>
        <w:t>Under PRIIPs</w:t>
      </w:r>
      <w:r>
        <w:rPr>
          <w:rFonts w:ascii="Garamond" w:hAnsi="Garamond"/>
          <w:kern w:val="28"/>
          <w:sz w:val="24"/>
        </w:rPr>
        <w:t>,</w:t>
      </w:r>
      <w:r w:rsidRPr="00E224AE">
        <w:rPr>
          <w:rFonts w:ascii="Garamond" w:hAnsi="Garamond"/>
          <w:kern w:val="28"/>
          <w:sz w:val="24"/>
        </w:rPr>
        <w:t xml:space="preserve"> the European legislator has (correctly) decided that only retail investors need further information via a short product information while professional clients have enough knowledge and experience. This is in line with the appropriate test under MiFID II that allows to assume that professional clients have enough knowledge and experience</w:t>
      </w:r>
      <w:r>
        <w:rPr>
          <w:rFonts w:ascii="Garamond" w:hAnsi="Garamond"/>
          <w:kern w:val="28"/>
          <w:sz w:val="24"/>
        </w:rPr>
        <w:t xml:space="preserve"> (see Art.- 54 (3) and 56 (1) of Del Reg. 2017/565</w:t>
      </w:r>
      <w:r w:rsidRPr="00E224AE">
        <w:rPr>
          <w:rFonts w:ascii="Garamond" w:hAnsi="Garamond"/>
          <w:kern w:val="28"/>
          <w:sz w:val="24"/>
        </w:rPr>
        <w:t>. Therefore, the KID should be the only information document and</w:t>
      </w:r>
      <w:r>
        <w:rPr>
          <w:rFonts w:ascii="Garamond" w:hAnsi="Garamond"/>
          <w:kern w:val="28"/>
          <w:sz w:val="24"/>
        </w:rPr>
        <w:t xml:space="preserve"> it</w:t>
      </w:r>
      <w:r w:rsidRPr="00E224AE">
        <w:rPr>
          <w:rFonts w:ascii="Garamond" w:hAnsi="Garamond"/>
          <w:kern w:val="28"/>
          <w:sz w:val="24"/>
        </w:rPr>
        <w:t xml:space="preserve"> should only be provided to retail investors for all products.  </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343D0B84" w14:textId="77777777" w:rsidR="00074C4C" w:rsidRPr="00E224AE" w:rsidRDefault="00074C4C" w:rsidP="00074C4C">
      <w:pPr>
        <w:suppressAutoHyphens/>
        <w:rPr>
          <w:rFonts w:ascii="Garamond" w:hAnsi="Garamond"/>
          <w:kern w:val="28"/>
          <w:sz w:val="24"/>
        </w:rPr>
      </w:pPr>
      <w:permStart w:id="649920829" w:edGrp="everyone"/>
      <w:r w:rsidRPr="00E224AE">
        <w:rPr>
          <w:rFonts w:ascii="Garamond" w:hAnsi="Garamond"/>
          <w:kern w:val="28"/>
          <w:sz w:val="24"/>
        </w:rPr>
        <w:t>It should generally suffice if clients are provided with the KID when they make their investment decision. Providing a KID again for each of the automated additional purchases made under the savings plan is, on the other hand, unnecessary. Investors can, of course, obtain the current key investor information and the other sales documentation at any time both from their online broker and their distributor (and very often also on the internet via the websites of the respective capital management companies); the same would naturally apply to KIDs as well in the future. When concluding a savings plan, investors are advised that</w:t>
      </w:r>
      <w:r>
        <w:rPr>
          <w:rFonts w:ascii="Garamond" w:hAnsi="Garamond"/>
          <w:kern w:val="28"/>
          <w:sz w:val="24"/>
        </w:rPr>
        <w:t xml:space="preserve">, </w:t>
      </w:r>
      <w:r w:rsidRPr="00E224AE">
        <w:rPr>
          <w:rFonts w:ascii="Garamond" w:hAnsi="Garamond"/>
          <w:kern w:val="28"/>
          <w:sz w:val="24"/>
        </w:rPr>
        <w:t>and where</w:t>
      </w:r>
      <w:r>
        <w:rPr>
          <w:rFonts w:ascii="Garamond" w:hAnsi="Garamond"/>
          <w:kern w:val="28"/>
          <w:sz w:val="24"/>
        </w:rPr>
        <w:t xml:space="preserve">, </w:t>
      </w:r>
      <w:r w:rsidRPr="00E224AE">
        <w:rPr>
          <w:rFonts w:ascii="Garamond" w:hAnsi="Garamond"/>
          <w:kern w:val="28"/>
          <w:sz w:val="24"/>
        </w:rPr>
        <w:t xml:space="preserve">they can view or obtain revised KIDs. The requirement of Article 13(4) of the PRIIPs Regulation should therefore be deleted and replaced by clarification to the effect that the KID only </w:t>
      </w:r>
      <w:proofErr w:type="gramStart"/>
      <w:r w:rsidRPr="00E224AE">
        <w:rPr>
          <w:rFonts w:ascii="Garamond" w:hAnsi="Garamond"/>
          <w:kern w:val="28"/>
          <w:sz w:val="24"/>
        </w:rPr>
        <w:t>has to</w:t>
      </w:r>
      <w:proofErr w:type="gramEnd"/>
      <w:r w:rsidRPr="00E224AE">
        <w:rPr>
          <w:rFonts w:ascii="Garamond" w:hAnsi="Garamond"/>
          <w:kern w:val="28"/>
          <w:sz w:val="24"/>
        </w:rPr>
        <w:t xml:space="preserve"> be provided when an investment decision is made.</w:t>
      </w:r>
    </w:p>
    <w:p w14:paraId="24EF92DC" w14:textId="77777777" w:rsidR="00074C4C" w:rsidRPr="00E224AE" w:rsidRDefault="00074C4C" w:rsidP="00074C4C">
      <w:pPr>
        <w:suppressAutoHyphens/>
        <w:rPr>
          <w:rFonts w:ascii="Garamond" w:hAnsi="Garamond"/>
          <w:kern w:val="28"/>
          <w:sz w:val="24"/>
        </w:rPr>
      </w:pPr>
    </w:p>
    <w:p w14:paraId="15E1B57A" w14:textId="77777777" w:rsidR="00074C4C" w:rsidRPr="00535241" w:rsidRDefault="00074C4C" w:rsidP="00074C4C">
      <w:pPr>
        <w:suppressAutoHyphens/>
        <w:rPr>
          <w:rFonts w:ascii="Garamond" w:hAnsi="Garamond"/>
          <w:kern w:val="28"/>
          <w:sz w:val="24"/>
        </w:rPr>
      </w:pPr>
      <w:r w:rsidRPr="00E224AE">
        <w:rPr>
          <w:rFonts w:ascii="Garamond" w:hAnsi="Garamond"/>
          <w:kern w:val="28"/>
          <w:sz w:val="24"/>
        </w:rPr>
        <w:t xml:space="preserve">Should European legislators not consider </w:t>
      </w:r>
      <w:r>
        <w:rPr>
          <w:rFonts w:ascii="Garamond" w:hAnsi="Garamond"/>
          <w:kern w:val="28"/>
          <w:sz w:val="24"/>
        </w:rPr>
        <w:t xml:space="preserve">the </w:t>
      </w:r>
      <w:r w:rsidRPr="00E224AE">
        <w:rPr>
          <w:rFonts w:ascii="Garamond" w:hAnsi="Garamond"/>
          <w:kern w:val="28"/>
          <w:sz w:val="24"/>
        </w:rPr>
        <w:t xml:space="preserve">provision of a KID only </w:t>
      </w:r>
      <w:r>
        <w:rPr>
          <w:rFonts w:ascii="Garamond" w:hAnsi="Garamond"/>
          <w:kern w:val="28"/>
          <w:sz w:val="24"/>
        </w:rPr>
        <w:t xml:space="preserve">once (when the contract is concluded) </w:t>
      </w:r>
      <w:r w:rsidRPr="00E224AE">
        <w:rPr>
          <w:rFonts w:ascii="Garamond" w:hAnsi="Garamond"/>
          <w:kern w:val="28"/>
          <w:sz w:val="24"/>
        </w:rPr>
        <w:t xml:space="preserve">to be </w:t>
      </w:r>
      <w:proofErr w:type="gramStart"/>
      <w:r w:rsidRPr="00E224AE">
        <w:rPr>
          <w:rFonts w:ascii="Garamond" w:hAnsi="Garamond"/>
          <w:kern w:val="28"/>
          <w:sz w:val="24"/>
        </w:rPr>
        <w:t>sufficient</w:t>
      </w:r>
      <w:proofErr w:type="gramEnd"/>
      <w:r w:rsidRPr="00E224AE">
        <w:rPr>
          <w:rFonts w:ascii="Garamond" w:hAnsi="Garamond"/>
          <w:kern w:val="28"/>
          <w:sz w:val="24"/>
        </w:rPr>
        <w:t xml:space="preserve">, </w:t>
      </w:r>
      <w:r>
        <w:rPr>
          <w:rFonts w:ascii="Garamond" w:hAnsi="Garamond"/>
          <w:kern w:val="28"/>
          <w:sz w:val="24"/>
        </w:rPr>
        <w:t xml:space="preserve">distributors should be </w:t>
      </w:r>
      <w:r w:rsidRPr="00E224AE">
        <w:rPr>
          <w:rFonts w:ascii="Garamond" w:hAnsi="Garamond"/>
          <w:kern w:val="28"/>
          <w:sz w:val="24"/>
        </w:rPr>
        <w:t>requir</w:t>
      </w:r>
      <w:r>
        <w:rPr>
          <w:rFonts w:ascii="Garamond" w:hAnsi="Garamond"/>
          <w:kern w:val="28"/>
          <w:sz w:val="24"/>
        </w:rPr>
        <w:t xml:space="preserve">ed </w:t>
      </w:r>
      <w:r w:rsidRPr="00E224AE">
        <w:rPr>
          <w:rFonts w:ascii="Garamond" w:hAnsi="Garamond"/>
          <w:kern w:val="28"/>
          <w:sz w:val="24"/>
        </w:rPr>
        <w:t xml:space="preserve">to only provide KIDs periodically. This could be done by giving retail savings plan investors an up-to-date KID along with the annual </w:t>
      </w:r>
      <w:r w:rsidRPr="00E224AE">
        <w:rPr>
          <w:rFonts w:ascii="Garamond" w:hAnsi="Garamond"/>
          <w:kern w:val="28"/>
          <w:sz w:val="24"/>
        </w:rPr>
        <w:lastRenderedPageBreak/>
        <w:t xml:space="preserve">portfolio statement. </w:t>
      </w:r>
      <w:r>
        <w:rPr>
          <w:rFonts w:ascii="Garamond" w:hAnsi="Garamond"/>
          <w:kern w:val="28"/>
          <w:sz w:val="24"/>
        </w:rPr>
        <w:t xml:space="preserve">This would help to reduce costs while the investor regularly receives the current KID. </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43F64857" w14:textId="77777777" w:rsidR="00074C4C" w:rsidRPr="003F4646" w:rsidRDefault="00074C4C" w:rsidP="00074C4C">
      <w:pPr>
        <w:spacing w:line="360" w:lineRule="auto"/>
        <w:rPr>
          <w:rFonts w:ascii="Garamond" w:eastAsia="Calibri" w:hAnsi="Garamond"/>
          <w:sz w:val="24"/>
          <w:lang w:eastAsia="en-US"/>
        </w:rPr>
      </w:pPr>
      <w:permStart w:id="803234900" w:edGrp="everyone"/>
      <w:r w:rsidRPr="003F4646">
        <w:rPr>
          <w:rFonts w:ascii="Garamond" w:eastAsia="Calibri" w:hAnsi="Garamond"/>
          <w:sz w:val="24"/>
          <w:lang w:eastAsia="en-US"/>
        </w:rPr>
        <w:t>The requirements should not be extended to other types of PRIIPs since they are mainly fund-specific.</w:t>
      </w:r>
    </w:p>
    <w:p w14:paraId="69CE25B2" w14:textId="34E9AF79" w:rsidR="003E573C" w:rsidRDefault="003E573C" w:rsidP="003E573C">
      <w:pPr>
        <w:rPr>
          <w:rFonts w:cs="Arial"/>
        </w:rPr>
      </w:pPr>
      <w:bookmarkStart w:id="2" w:name="_GoBack"/>
      <w:bookmarkEnd w:id="2"/>
      <w:permEnd w:id="803234900"/>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lastRenderedPageBreak/>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498D5" w14:textId="77777777" w:rsidR="002D4896" w:rsidRDefault="002D4896">
      <w:r>
        <w:separator/>
      </w:r>
    </w:p>
    <w:p w14:paraId="760823F4" w14:textId="77777777" w:rsidR="002D4896" w:rsidRDefault="002D4896"/>
  </w:endnote>
  <w:endnote w:type="continuationSeparator" w:id="0">
    <w:p w14:paraId="21088F64" w14:textId="77777777" w:rsidR="002D4896" w:rsidRDefault="002D4896">
      <w:r>
        <w:continuationSeparator/>
      </w:r>
    </w:p>
    <w:p w14:paraId="6071C665" w14:textId="77777777" w:rsidR="002D4896" w:rsidRDefault="002D4896"/>
  </w:endnote>
  <w:endnote w:type="continuationNotice" w:id="1">
    <w:p w14:paraId="0E97F0AF" w14:textId="77777777" w:rsidR="002D4896" w:rsidRDefault="002D4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6C45" w14:textId="77777777" w:rsidR="002D4896" w:rsidRDefault="002D4896">
      <w:r>
        <w:separator/>
      </w:r>
    </w:p>
    <w:p w14:paraId="48B67320" w14:textId="77777777" w:rsidR="002D4896" w:rsidRDefault="002D4896"/>
  </w:footnote>
  <w:footnote w:type="continuationSeparator" w:id="0">
    <w:p w14:paraId="2563ABF5" w14:textId="77777777" w:rsidR="002D4896" w:rsidRDefault="002D4896">
      <w:r>
        <w:continuationSeparator/>
      </w:r>
    </w:p>
    <w:p w14:paraId="7BC89CF5" w14:textId="77777777" w:rsidR="002D4896" w:rsidRDefault="002D4896"/>
  </w:footnote>
  <w:footnote w:type="continuationNotice" w:id="1">
    <w:p w14:paraId="0D10D92C" w14:textId="77777777" w:rsidR="002D4896" w:rsidRDefault="002D4896"/>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6485D26F" w14:textId="77777777" w:rsidR="00074C4C" w:rsidRPr="009A15B5" w:rsidRDefault="00074C4C" w:rsidP="00074C4C">
      <w:pPr>
        <w:pStyle w:val="FootnoteText"/>
        <w:rPr>
          <w:rFonts w:ascii="Garamond" w:hAnsi="Garamond"/>
          <w:sz w:val="20"/>
        </w:rPr>
      </w:pPr>
      <w:r w:rsidRPr="00A95A06">
        <w:rPr>
          <w:rStyle w:val="FootnoteReference"/>
        </w:rPr>
        <w:footnoteRef/>
      </w:r>
      <w:r w:rsidRPr="00A95A06">
        <w:t xml:space="preserve"> </w:t>
      </w:r>
      <w:r w:rsidRPr="009A15B5">
        <w:rPr>
          <w:rFonts w:ascii="Garamond" w:hAnsi="Garamond"/>
          <w:sz w:val="20"/>
        </w:rPr>
        <w:t>See enclosure: Final report of February 2019 on the MiFID II/</w:t>
      </w:r>
      <w:proofErr w:type="spellStart"/>
      <w:r w:rsidRPr="009A15B5">
        <w:rPr>
          <w:rFonts w:ascii="Garamond" w:hAnsi="Garamond"/>
          <w:sz w:val="20"/>
        </w:rPr>
        <w:t>MiFIR</w:t>
      </w:r>
      <w:proofErr w:type="spellEnd"/>
      <w:r w:rsidRPr="009A15B5">
        <w:rPr>
          <w:rFonts w:ascii="Garamond" w:hAnsi="Garamond"/>
          <w:sz w:val="20"/>
        </w:rPr>
        <w:t>/PRIIPs Regulation Impact Study: Effectiveness and Efficiency of New Regulations in the Context of Investor and Consumer Protection by Professor Stephan Paul (Chair of Finance and Banking at Ruhr-Universität Bochum) et al. for the German Banking Industry Committee</w:t>
      </w:r>
      <w:r>
        <w:rPr>
          <w:rFonts w:ascii="Garamond" w:hAnsi="Garamond"/>
          <w:sz w:val="20"/>
        </w:rPr>
        <w:t>.</w:t>
      </w:r>
    </w:p>
  </w:footnote>
  <w:footnote w:id="6">
    <w:p w14:paraId="7CE6E0D6" w14:textId="77777777" w:rsidR="00074C4C" w:rsidRPr="00A95A06" w:rsidRDefault="00074C4C" w:rsidP="00074C4C">
      <w:pPr>
        <w:pStyle w:val="FootnoteText"/>
      </w:pPr>
      <w:r w:rsidRPr="00A95A06">
        <w:rPr>
          <w:rStyle w:val="FootnoteReference"/>
        </w:rPr>
        <w:footnoteRef/>
      </w:r>
      <w:r w:rsidRPr="00A95A06">
        <w:t xml:space="preserve"> </w:t>
      </w:r>
      <w:r w:rsidRPr="009A15B5">
        <w:rPr>
          <w:rFonts w:ascii="Garamond" w:hAnsi="Garamond"/>
          <w:sz w:val="20"/>
        </w:rPr>
        <w:t xml:space="preserve">See ESMA: Q&amp;A on MiFID II and </w:t>
      </w:r>
      <w:proofErr w:type="spellStart"/>
      <w:r w:rsidRPr="009A15B5">
        <w:rPr>
          <w:rFonts w:ascii="Garamond" w:hAnsi="Garamond"/>
          <w:sz w:val="20"/>
        </w:rPr>
        <w:t>MiFIR</w:t>
      </w:r>
      <w:proofErr w:type="spellEnd"/>
      <w:r w:rsidRPr="009A15B5">
        <w:rPr>
          <w:rFonts w:ascii="Garamond" w:hAnsi="Garamond"/>
          <w:sz w:val="20"/>
        </w:rPr>
        <w:t xml:space="preserve"> investor protection and </w:t>
      </w:r>
      <w:proofErr w:type="gramStart"/>
      <w:r w:rsidRPr="009A15B5">
        <w:rPr>
          <w:rFonts w:ascii="Garamond" w:hAnsi="Garamond"/>
          <w:sz w:val="20"/>
        </w:rPr>
        <w:t>intermediaries</w:t>
      </w:r>
      <w:proofErr w:type="gramEnd"/>
      <w:r w:rsidRPr="009A15B5">
        <w:rPr>
          <w:rFonts w:ascii="Garamond" w:hAnsi="Garamond"/>
          <w:sz w:val="20"/>
        </w:rPr>
        <w:t xml:space="preserve"> topics (ESMA 35-43-349), section 9, Information on costs and charges, answer to question 7</w:t>
      </w:r>
      <w:r>
        <w:rPr>
          <w:rFonts w:ascii="Garamond" w:hAnsi="Garamond"/>
          <w:sz w:val="20"/>
        </w:rPr>
        <w:t>.</w:t>
      </w:r>
    </w:p>
  </w:footnote>
  <w:footnote w:id="7">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A45DA"/>
    <w:multiLevelType w:val="hybridMultilevel"/>
    <w:tmpl w:val="F7063B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9"/>
  </w:num>
  <w:num w:numId="5">
    <w:abstractNumId w:val="3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3"/>
  </w:num>
  <w:num w:numId="21">
    <w:abstractNumId w:val="44"/>
  </w:num>
  <w:num w:numId="22">
    <w:abstractNumId w:val="31"/>
  </w:num>
  <w:num w:numId="23">
    <w:abstractNumId w:val="8"/>
  </w:num>
  <w:num w:numId="24">
    <w:abstractNumId w:val="37"/>
  </w:num>
  <w:num w:numId="25">
    <w:abstractNumId w:val="36"/>
  </w:num>
  <w:num w:numId="26">
    <w:abstractNumId w:val="22"/>
  </w:num>
  <w:num w:numId="27">
    <w:abstractNumId w:val="41"/>
  </w:num>
  <w:num w:numId="28">
    <w:abstractNumId w:val="46"/>
  </w:num>
  <w:num w:numId="29">
    <w:abstractNumId w:val="5"/>
  </w:num>
  <w:num w:numId="30">
    <w:abstractNumId w:val="2"/>
  </w:num>
  <w:num w:numId="31">
    <w:abstractNumId w:val="24"/>
  </w:num>
  <w:num w:numId="32">
    <w:abstractNumId w:val="23"/>
  </w:num>
  <w:num w:numId="33">
    <w:abstractNumId w:val="43"/>
  </w:num>
  <w:num w:numId="34">
    <w:abstractNumId w:val="42"/>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40"/>
  </w:num>
  <w:num w:numId="43">
    <w:abstractNumId w:val="30"/>
  </w:num>
  <w:num w:numId="44">
    <w:abstractNumId w:val="30"/>
    <w:lvlOverride w:ilvl="0">
      <w:startOverride w:val="1"/>
    </w:lvlOverride>
  </w:num>
  <w:num w:numId="45">
    <w:abstractNumId w:val="27"/>
  </w:num>
  <w:num w:numId="46">
    <w:abstractNumId w:val="7"/>
  </w:num>
  <w:num w:numId="47">
    <w:abstractNumId w:val="34"/>
  </w:num>
  <w:num w:numId="4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4C4C"/>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896"/>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E7C93"/>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20"/>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7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9EDB9-4744-40B2-9248-7BE76A8987C0}">
  <ds:schemaRefs>
    <ds:schemaRef ds:uri="http://schemas.openxmlformats.org/officeDocument/2006/bibliography"/>
  </ds:schemaRefs>
</ds:datastoreItem>
</file>

<file path=customXml/itemProps6.xml><?xml version="1.0" encoding="utf-8"?>
<ds:datastoreItem xmlns:ds="http://schemas.openxmlformats.org/officeDocument/2006/customXml" ds:itemID="{B05655D0-8E67-4AD4-931A-FB3A9D69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6894</Words>
  <Characters>39299</Characters>
  <Application>Microsoft Office Word</Application>
  <DocSecurity>8</DocSecurity>
  <Lines>327</Lines>
  <Paragraphs>92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46101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Chiara Bergamaschi</cp:lastModifiedBy>
  <cp:revision>3</cp:revision>
  <cp:lastPrinted>2015-02-18T11:01:00Z</cp:lastPrinted>
  <dcterms:created xsi:type="dcterms:W3CDTF">2019-12-20T15:20:00Z</dcterms:created>
  <dcterms:modified xsi:type="dcterms:W3CDTF">2019-12-20T15:41:00Z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